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tblInd w:w="-34" w:type="dxa"/>
        <w:tblLook w:val="01E0" w:firstRow="1" w:lastRow="1" w:firstColumn="1" w:lastColumn="1" w:noHBand="0" w:noVBand="0"/>
      </w:tblPr>
      <w:tblGrid>
        <w:gridCol w:w="3119"/>
        <w:gridCol w:w="6095"/>
      </w:tblGrid>
      <w:tr w:rsidR="00466C56" w:rsidRPr="00466C56" w14:paraId="2298CF6B" w14:textId="77777777" w:rsidTr="00CE0957">
        <w:trPr>
          <w:trHeight w:val="865"/>
        </w:trPr>
        <w:tc>
          <w:tcPr>
            <w:tcW w:w="3119" w:type="dxa"/>
          </w:tcPr>
          <w:p w14:paraId="283A2E40" w14:textId="77777777" w:rsidR="00466C56" w:rsidRPr="00466C56" w:rsidRDefault="00603807" w:rsidP="00CE0957">
            <w:pPr>
              <w:tabs>
                <w:tab w:val="left" w:pos="1152"/>
              </w:tabs>
              <w:jc w:val="center"/>
              <w:rPr>
                <w:b/>
              </w:rPr>
            </w:pPr>
            <w:r>
              <w:rPr>
                <w:b/>
                <w:noProof/>
                <w:sz w:val="26"/>
              </w:rPr>
              <mc:AlternateContent>
                <mc:Choice Requires="wps">
                  <w:drawing>
                    <wp:anchor distT="0" distB="0" distL="114300" distR="114300" simplePos="0" relativeHeight="251659264" behindDoc="0" locked="0" layoutInCell="1" allowOverlap="1" wp14:anchorId="5977CECA" wp14:editId="64450A80">
                      <wp:simplePos x="0" y="0"/>
                      <wp:positionH relativeFrom="column">
                        <wp:posOffset>673735</wp:posOffset>
                      </wp:positionH>
                      <wp:positionV relativeFrom="paragraph">
                        <wp:posOffset>315595</wp:posOffset>
                      </wp:positionV>
                      <wp:extent cx="556895" cy="635"/>
                      <wp:effectExtent l="0" t="0" r="14605" b="374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89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206BABAD" id="_x0000_t32" coordsize="21600,21600" o:spt="32" o:oned="t" path="m,l21600,21600e" filled="f">
                      <v:path arrowok="t" fillok="f" o:connecttype="none"/>
                      <o:lock v:ext="edit" shapetype="t"/>
                    </v:shapetype>
                    <v:shape id="Straight Arrow Connector 2" o:spid="_x0000_s1026" type="#_x0000_t32" style="position:absolute;margin-left:53.05pt;margin-top:24.85pt;width:43.8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"/>
                  </w:pict>
                </mc:Fallback>
              </mc:AlternateContent>
            </w:r>
            <w:r w:rsidR="00466C56" w:rsidRPr="00466C56">
              <w:rPr>
                <w:b/>
                <w:sz w:val="26"/>
              </w:rPr>
              <w:t>CHÍNH PHỦ</w:t>
            </w:r>
            <w:r w:rsidR="00466C56" w:rsidRPr="00466C56">
              <w:rPr>
                <w:b/>
              </w:rPr>
              <w:br/>
            </w:r>
          </w:p>
        </w:tc>
        <w:tc>
          <w:tcPr>
            <w:tcW w:w="6095" w:type="dxa"/>
          </w:tcPr>
          <w:p w14:paraId="5B0D26DD" w14:textId="77777777" w:rsidR="00466C56" w:rsidRPr="00466C56" w:rsidRDefault="00603807" w:rsidP="00CE0957">
            <w:pPr>
              <w:tabs>
                <w:tab w:val="left" w:pos="1152"/>
              </w:tabs>
              <w:jc w:val="center"/>
            </w:pPr>
            <w:r>
              <w:rPr>
                <w:b/>
                <w:noProof/>
                <w:sz w:val="26"/>
              </w:rPr>
              <mc:AlternateContent>
                <mc:Choice Requires="wps">
                  <w:drawing>
                    <wp:anchor distT="4294967295" distB="4294967295" distL="114300" distR="114300" simplePos="0" relativeHeight="251660288" behindDoc="0" locked="0" layoutInCell="1" allowOverlap="1" wp14:anchorId="47B0B8A6" wp14:editId="61A8A493">
                      <wp:simplePos x="0" y="0"/>
                      <wp:positionH relativeFrom="column">
                        <wp:posOffset>816610</wp:posOffset>
                      </wp:positionH>
                      <wp:positionV relativeFrom="paragraph">
                        <wp:posOffset>442594</wp:posOffset>
                      </wp:positionV>
                      <wp:extent cx="2053590" cy="0"/>
                      <wp:effectExtent l="0" t="0" r="2286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35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2215E7A" id="Straight Arrow Connector 1" o:spid="_x0000_s1026" type="#_x0000_t32" style="position:absolute;margin-left:64.3pt;margin-top:34.85pt;width:161.7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"/>
                  </w:pict>
                </mc:Fallback>
              </mc:AlternateContent>
            </w:r>
            <w:r w:rsidR="00466C56" w:rsidRPr="00466C56">
              <w:rPr>
                <w:b/>
                <w:sz w:val="26"/>
              </w:rPr>
              <w:t>CỘNG HÒA XÃ HỘI CHỦ NGHĨA VIỆT NAM</w:t>
            </w:r>
            <w:r w:rsidR="00466C56" w:rsidRPr="00466C56">
              <w:rPr>
                <w:b/>
              </w:rPr>
              <w:br/>
              <w:t xml:space="preserve">Độc lập - Tự do - Hạnh phúc </w:t>
            </w:r>
          </w:p>
        </w:tc>
      </w:tr>
      <w:tr w:rsidR="00466C56" w:rsidRPr="00466C56" w14:paraId="4348F35E" w14:textId="77777777" w:rsidTr="00CE0957">
        <w:tc>
          <w:tcPr>
            <w:tcW w:w="3119" w:type="dxa"/>
          </w:tcPr>
          <w:p w14:paraId="5B59FB42" w14:textId="77777777" w:rsidR="00466C56" w:rsidRPr="00466C56" w:rsidRDefault="00466C56" w:rsidP="00466C56">
            <w:pPr>
              <w:tabs>
                <w:tab w:val="left" w:pos="1152"/>
              </w:tabs>
              <w:jc w:val="center"/>
            </w:pPr>
            <w:r w:rsidRPr="00466C56">
              <w:t>Số:</w:t>
            </w:r>
            <w:r>
              <w:t xml:space="preserve">      /2019</w:t>
            </w:r>
            <w:r w:rsidRPr="00466C56">
              <w:t xml:space="preserve">/NĐ-CP </w:t>
            </w:r>
          </w:p>
        </w:tc>
        <w:tc>
          <w:tcPr>
            <w:tcW w:w="6095" w:type="dxa"/>
          </w:tcPr>
          <w:p w14:paraId="26090671" w14:textId="77777777" w:rsidR="00466C56" w:rsidRPr="00466C56" w:rsidRDefault="00466C56" w:rsidP="00603807">
            <w:pPr>
              <w:tabs>
                <w:tab w:val="left" w:pos="1152"/>
              </w:tabs>
              <w:jc w:val="center"/>
              <w:rPr>
                <w:i/>
              </w:rPr>
            </w:pPr>
            <w:r w:rsidRPr="00466C56">
              <w:rPr>
                <w:i/>
              </w:rPr>
              <w:t>Hà Nội, ngày</w:t>
            </w:r>
            <w:r w:rsidR="00603807">
              <w:rPr>
                <w:i/>
              </w:rPr>
              <w:t xml:space="preserve">   </w:t>
            </w:r>
            <w:r w:rsidR="006021A9">
              <w:rPr>
                <w:i/>
              </w:rPr>
              <w:t xml:space="preserve"> </w:t>
            </w:r>
            <w:r w:rsidR="00603807">
              <w:rPr>
                <w:i/>
              </w:rPr>
              <w:t xml:space="preserve"> </w:t>
            </w:r>
            <w:r w:rsidRPr="00466C56">
              <w:rPr>
                <w:i/>
              </w:rPr>
              <w:t>tháng</w:t>
            </w:r>
            <w:r w:rsidR="00603807">
              <w:rPr>
                <w:i/>
              </w:rPr>
              <w:t xml:space="preserve">      </w:t>
            </w:r>
            <w:r w:rsidRPr="00466C56">
              <w:rPr>
                <w:i/>
              </w:rPr>
              <w:t>năm 20</w:t>
            </w:r>
            <w:r>
              <w:rPr>
                <w:i/>
              </w:rPr>
              <w:t>19</w:t>
            </w:r>
          </w:p>
        </w:tc>
      </w:tr>
    </w:tbl>
    <w:p w14:paraId="60AD4094" w14:textId="77777777" w:rsidR="00466C56" w:rsidRPr="00466C56" w:rsidRDefault="004D60FB" w:rsidP="00466C56">
      <w:pPr>
        <w:jc w:val="center"/>
        <w:rPr>
          <w:b/>
        </w:rPr>
      </w:pPr>
      <w:r>
        <w:rPr>
          <w:b/>
          <w:noProof/>
        </w:rPr>
        <mc:AlternateContent>
          <mc:Choice Requires="wps">
            <w:drawing>
              <wp:anchor distT="0" distB="0" distL="114300" distR="114300" simplePos="0" relativeHeight="251661312" behindDoc="0" locked="0" layoutInCell="1" allowOverlap="1" wp14:anchorId="1DBE874D" wp14:editId="542FD0BC">
                <wp:simplePos x="0" y="0"/>
                <wp:positionH relativeFrom="column">
                  <wp:posOffset>85725</wp:posOffset>
                </wp:positionH>
                <wp:positionV relativeFrom="paragraph">
                  <wp:posOffset>46356</wp:posOffset>
                </wp:positionV>
                <wp:extent cx="1543050" cy="28575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285750"/>
                        </a:xfrm>
                        <a:prstGeom prst="rect">
                          <a:avLst/>
                        </a:prstGeom>
                        <a:solidFill>
                          <a:srgbClr val="FFFFFF"/>
                        </a:solidFill>
                        <a:ln w="9525">
                          <a:solidFill>
                            <a:srgbClr val="000000"/>
                          </a:solidFill>
                          <a:miter lim="800000"/>
                          <a:headEnd/>
                          <a:tailEnd/>
                        </a:ln>
                      </wps:spPr>
                      <wps:txbx>
                        <w:txbxContent>
                          <w:p w14:paraId="6DB6B1E7" w14:textId="4A915203" w:rsidR="004D60FB" w:rsidRDefault="004D60FB" w:rsidP="00AF11E9">
                            <w:pPr>
                              <w:jc w:val="center"/>
                            </w:pPr>
                            <w:r>
                              <w:t xml:space="preserve">Dự thảo </w:t>
                            </w:r>
                            <w:r w:rsidR="006021A9">
                              <w:t>2</w:t>
                            </w:r>
                            <w:r w:rsidR="00752837">
                              <w:t>1</w:t>
                            </w:r>
                            <w:r w:rsidR="006021A9">
                              <w:t>/</w:t>
                            </w:r>
                            <w:r>
                              <w:t>6/2019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6.75pt;margin-top:3.65pt;width:121.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">
                <v:textbox>
                  <w:txbxContent>
                    <w:p w14:paraId="6DB6B1E7" w14:textId="4A915203" w:rsidR="004D60FB" w:rsidRDefault="004D60FB" w:rsidP="00AF11E9">
                      <w:pPr>
                        <w:jc w:val="center"/>
                      </w:pPr>
                      <w:r>
                        <w:t xml:space="preserve">Dự thảo </w:t>
                      </w:r>
                      <w:r w:rsidR="006021A9">
                        <w:t>2</w:t>
                      </w:r>
                      <w:r w:rsidR="00752837">
                        <w:t>1</w:t>
                      </w:r>
                      <w:r w:rsidR="006021A9">
                        <w:t>/</w:t>
                      </w:r>
                      <w:r>
                        <w:t>6/2019</w:t>
                      </w:r>
                    </w:p>
                  </w:txbxContent>
                </v:textbox>
              </v:rect>
            </w:pict>
          </mc:Fallback>
        </mc:AlternateContent>
      </w:r>
    </w:p>
    <w:p w14:paraId="71934907" w14:textId="77777777" w:rsidR="00466C56" w:rsidRPr="00466C56" w:rsidRDefault="00466C56" w:rsidP="00466C56">
      <w:pPr>
        <w:jc w:val="center"/>
        <w:rPr>
          <w:b/>
        </w:rPr>
      </w:pPr>
    </w:p>
    <w:p w14:paraId="3A657486" w14:textId="77777777" w:rsidR="00466C56" w:rsidRPr="00466C56" w:rsidRDefault="00466C56" w:rsidP="00466C56">
      <w:pPr>
        <w:jc w:val="center"/>
        <w:rPr>
          <w:b/>
        </w:rPr>
      </w:pPr>
      <w:r w:rsidRPr="00466C56">
        <w:rPr>
          <w:b/>
        </w:rPr>
        <w:t>NGHỊ ĐỊNH</w:t>
      </w:r>
    </w:p>
    <w:p w14:paraId="61341092" w14:textId="77777777" w:rsidR="00466C56" w:rsidRPr="00466C56" w:rsidRDefault="003F4D24" w:rsidP="00FE4689">
      <w:pPr>
        <w:ind w:left="709" w:right="713"/>
        <w:jc w:val="center"/>
        <w:rPr>
          <w:b/>
        </w:rPr>
      </w:pPr>
      <w:r w:rsidRPr="004D2147">
        <w:rPr>
          <w:b/>
          <w:bCs/>
        </w:rPr>
        <w:t xml:space="preserve">Nghị định </w:t>
      </w:r>
      <w:r w:rsidRPr="004D2147">
        <w:rPr>
          <w:b/>
        </w:rPr>
        <w:t xml:space="preserve">sửa đổi, bổ sung một số điều của các nghị định thuộc lĩnh vực hạ tầng kỹ thuật để phù hợp với Luật Quy hoạch và Luật sửa đổi, bổ sung </w:t>
      </w:r>
      <w:r>
        <w:rPr>
          <w:b/>
        </w:rPr>
        <w:t>một số Điều của 37</w:t>
      </w:r>
      <w:r w:rsidRPr="004D2147">
        <w:rPr>
          <w:b/>
        </w:rPr>
        <w:t xml:space="preserve"> Luật có liên quan đến quy hoạch</w:t>
      </w:r>
    </w:p>
    <w:p w14:paraId="256C8D5A" w14:textId="77777777" w:rsidR="00466C56" w:rsidRPr="00466C56" w:rsidRDefault="00466C56" w:rsidP="00466C56">
      <w:pPr>
        <w:jc w:val="center"/>
        <w:rPr>
          <w:b/>
          <w:vertAlign w:val="superscript"/>
        </w:rPr>
      </w:pPr>
      <w:r w:rsidRPr="00466C56">
        <w:rPr>
          <w:b/>
          <w:vertAlign w:val="superscript"/>
        </w:rPr>
        <w:t>__________</w:t>
      </w:r>
    </w:p>
    <w:p w14:paraId="50778724" w14:textId="77777777" w:rsidR="00466C56" w:rsidRPr="007C513A" w:rsidRDefault="00466C56" w:rsidP="00466C56">
      <w:pPr>
        <w:jc w:val="center"/>
        <w:rPr>
          <w:sz w:val="2"/>
        </w:rPr>
      </w:pPr>
    </w:p>
    <w:p w14:paraId="4E1510AF" w14:textId="77777777" w:rsidR="00F76C7B" w:rsidRPr="008A0D48" w:rsidRDefault="00F76C7B" w:rsidP="003515B7">
      <w:pPr>
        <w:spacing w:before="60" w:after="60" w:line="276" w:lineRule="auto"/>
        <w:ind w:firstLine="720"/>
        <w:jc w:val="both"/>
      </w:pPr>
      <w:r w:rsidRPr="008A0D48">
        <w:rPr>
          <w:i/>
          <w:iCs/>
          <w:lang w:val="vi-VN"/>
        </w:rPr>
        <w:t xml:space="preserve">Căn cứ Luật </w:t>
      </w:r>
      <w:r w:rsidRPr="008A0D48">
        <w:rPr>
          <w:i/>
          <w:iCs/>
        </w:rPr>
        <w:t>Quy hoạch đô thị</w:t>
      </w:r>
      <w:r w:rsidRPr="008A0D48">
        <w:rPr>
          <w:i/>
          <w:iCs/>
          <w:lang w:val="vi-VN"/>
        </w:rPr>
        <w:t xml:space="preserve"> ngày </w:t>
      </w:r>
      <w:r w:rsidRPr="008A0D48">
        <w:rPr>
          <w:i/>
          <w:iCs/>
        </w:rPr>
        <w:t>17</w:t>
      </w:r>
      <w:r w:rsidRPr="008A0D48">
        <w:rPr>
          <w:i/>
          <w:iCs/>
          <w:lang w:val="vi-VN"/>
        </w:rPr>
        <w:t xml:space="preserve"> tháng 6 năm 20</w:t>
      </w:r>
      <w:r w:rsidRPr="008A0D48">
        <w:rPr>
          <w:i/>
          <w:iCs/>
        </w:rPr>
        <w:t>09</w:t>
      </w:r>
      <w:r w:rsidRPr="008A0D48">
        <w:rPr>
          <w:i/>
          <w:iCs/>
          <w:lang w:val="vi-VN"/>
        </w:rPr>
        <w:t>;</w:t>
      </w:r>
    </w:p>
    <w:p w14:paraId="192DFA92" w14:textId="77777777" w:rsidR="00F76C7B" w:rsidRPr="008A0D48" w:rsidRDefault="00F76C7B" w:rsidP="003515B7">
      <w:pPr>
        <w:spacing w:before="60" w:after="60" w:line="276" w:lineRule="auto"/>
        <w:ind w:firstLine="720"/>
        <w:jc w:val="both"/>
        <w:rPr>
          <w:i/>
          <w:iCs/>
        </w:rPr>
      </w:pPr>
      <w:r w:rsidRPr="008A0D48">
        <w:rPr>
          <w:i/>
          <w:iCs/>
          <w:lang w:val="vi-VN"/>
        </w:rPr>
        <w:t>Căn cứ Luật Xây dựng ngày 18 tháng 6 năm 2014;</w:t>
      </w:r>
    </w:p>
    <w:p w14:paraId="13F26339" w14:textId="77777777" w:rsidR="00F76C7B" w:rsidRPr="008A0D48" w:rsidRDefault="00F76C7B" w:rsidP="009F1CD9">
      <w:pPr>
        <w:spacing w:before="60" w:after="60" w:line="276" w:lineRule="auto"/>
        <w:ind w:firstLine="720"/>
        <w:jc w:val="both"/>
        <w:rPr>
          <w:i/>
          <w:iCs/>
        </w:rPr>
      </w:pPr>
      <w:r w:rsidRPr="008A0D48">
        <w:rPr>
          <w:i/>
          <w:iCs/>
        </w:rPr>
        <w:t>Căn cứ Luật Quy hoạch ngày 24 tháng 11 năm 2017;</w:t>
      </w:r>
    </w:p>
    <w:p w14:paraId="54D52D50" w14:textId="77777777" w:rsidR="00F76C7B" w:rsidRPr="002B1146" w:rsidRDefault="00F76C7B" w:rsidP="003515B7">
      <w:pPr>
        <w:spacing w:before="60" w:after="60" w:line="276" w:lineRule="auto"/>
        <w:ind w:firstLine="720"/>
        <w:jc w:val="both"/>
        <w:rPr>
          <w:i/>
          <w:iCs/>
        </w:rPr>
      </w:pPr>
      <w:r w:rsidRPr="008A0D48">
        <w:rPr>
          <w:i/>
          <w:iCs/>
        </w:rPr>
        <w:t>Căn cứ Luật sửa đổi, bổ sung</w:t>
      </w:r>
      <w:r>
        <w:rPr>
          <w:i/>
          <w:iCs/>
        </w:rPr>
        <w:t xml:space="preserve"> một số điều của </w:t>
      </w:r>
      <w:r w:rsidRPr="008A0D48">
        <w:rPr>
          <w:i/>
          <w:iCs/>
        </w:rPr>
        <w:t xml:space="preserve">37 </w:t>
      </w:r>
      <w:r>
        <w:rPr>
          <w:i/>
          <w:iCs/>
        </w:rPr>
        <w:t>L</w:t>
      </w:r>
      <w:r w:rsidRPr="008A0D48">
        <w:rPr>
          <w:i/>
          <w:iCs/>
        </w:rPr>
        <w:t xml:space="preserve">uật có liên quan đến quy hoạch </w:t>
      </w:r>
      <w:r w:rsidR="002B1146" w:rsidRPr="002B1146">
        <w:rPr>
          <w:i/>
          <w:iCs/>
        </w:rPr>
        <w:t>ngày 20 tháng 11 năm 2018</w:t>
      </w:r>
      <w:r w:rsidRPr="008A0D48">
        <w:rPr>
          <w:i/>
          <w:iCs/>
        </w:rPr>
        <w:t>;</w:t>
      </w:r>
    </w:p>
    <w:p w14:paraId="11384B54" w14:textId="77777777" w:rsidR="00F76C7B" w:rsidRPr="008A0D48" w:rsidRDefault="00F76C7B" w:rsidP="003515B7">
      <w:pPr>
        <w:spacing w:before="60" w:after="60" w:line="276" w:lineRule="auto"/>
        <w:ind w:firstLine="720"/>
        <w:jc w:val="both"/>
      </w:pPr>
      <w:r w:rsidRPr="008A0D48">
        <w:rPr>
          <w:i/>
          <w:iCs/>
          <w:lang w:val="vi-VN"/>
        </w:rPr>
        <w:t>Theo đề nghị của Bộ trưởng Bộ Xây dựng,</w:t>
      </w:r>
    </w:p>
    <w:p w14:paraId="37AE9342" w14:textId="72C962AA" w:rsidR="00E961B6" w:rsidRPr="00E961B6" w:rsidRDefault="00466C56" w:rsidP="009F1CD9">
      <w:pPr>
        <w:spacing w:before="60" w:after="60" w:line="276" w:lineRule="auto"/>
        <w:ind w:firstLine="720"/>
        <w:jc w:val="both"/>
        <w:rPr>
          <w:i/>
          <w:iCs/>
        </w:rPr>
      </w:pPr>
      <w:r w:rsidRPr="00E961B6">
        <w:rPr>
          <w:i/>
          <w:iCs/>
        </w:rPr>
        <w:t xml:space="preserve">Chính phủ ban hành </w:t>
      </w:r>
      <w:r w:rsidR="003F4D24" w:rsidRPr="003F4D24">
        <w:rPr>
          <w:i/>
          <w:iCs/>
        </w:rPr>
        <w:t>Nghị định sửa đổi, bổ sung một số điều của các nghị định thuộc lĩnh vực hạ tầng kỹ thuật để phù hợp với Luật Quy hoạch và Luật sửa đổi, bổ sung một số Điều của 37 Luật có liên quan đến quy hoạch</w:t>
      </w:r>
      <w:r w:rsidR="00FE4689">
        <w:rPr>
          <w:i/>
          <w:iCs/>
        </w:rPr>
        <w:t>.</w:t>
      </w:r>
    </w:p>
    <w:p w14:paraId="3F54183A" w14:textId="0935402A" w:rsidR="00466C56" w:rsidRPr="00466C56" w:rsidRDefault="006B3ECE" w:rsidP="006021A9">
      <w:pPr>
        <w:tabs>
          <w:tab w:val="right" w:leader="dot" w:pos="8472"/>
        </w:tabs>
        <w:spacing w:before="60" w:after="60" w:line="360" w:lineRule="exact"/>
        <w:ind w:firstLine="720"/>
        <w:jc w:val="both"/>
        <w:rPr>
          <w:b/>
        </w:rPr>
      </w:pPr>
      <w:proofErr w:type="gramStart"/>
      <w:r>
        <w:rPr>
          <w:b/>
        </w:rPr>
        <w:t xml:space="preserve">Điều </w:t>
      </w:r>
      <w:r w:rsidR="00466C56" w:rsidRPr="00466C56">
        <w:rPr>
          <w:b/>
        </w:rPr>
        <w:t>1.</w:t>
      </w:r>
      <w:proofErr w:type="gramEnd"/>
      <w:r>
        <w:rPr>
          <w:b/>
        </w:rPr>
        <w:t xml:space="preserve"> </w:t>
      </w:r>
      <w:r w:rsidR="00406DA9" w:rsidRPr="00406DA9">
        <w:rPr>
          <w:b/>
        </w:rPr>
        <w:t>Sửa đổi, bổ sung, thay thế, bãi</w:t>
      </w:r>
      <w:r w:rsidR="00406DA9">
        <w:rPr>
          <w:b/>
          <w:bCs/>
        </w:rPr>
        <w:t xml:space="preserve"> bỏ </w:t>
      </w:r>
      <w:r w:rsidR="00466C56" w:rsidRPr="00466C56">
        <w:rPr>
          <w:b/>
        </w:rPr>
        <w:t xml:space="preserve">một số điều của Nghị định số </w:t>
      </w:r>
      <w:r w:rsidR="00E961B6" w:rsidRPr="00466C56">
        <w:rPr>
          <w:b/>
        </w:rPr>
        <w:t>117/2007/NĐ-CP ngày 11/7/2007</w:t>
      </w:r>
      <w:r w:rsidR="00E961B6">
        <w:rPr>
          <w:b/>
        </w:rPr>
        <w:t xml:space="preserve"> của Chính phủ về</w:t>
      </w:r>
      <w:r w:rsidR="00E961B6" w:rsidRPr="00466C56">
        <w:rPr>
          <w:b/>
        </w:rPr>
        <w:t xml:space="preserve"> sản suất, cung</w:t>
      </w:r>
      <w:r w:rsidR="00E961B6">
        <w:rPr>
          <w:b/>
        </w:rPr>
        <w:t xml:space="preserve"> cấp và tiêu thụ nước sạch</w:t>
      </w:r>
      <w:r w:rsidR="00406DA9">
        <w:rPr>
          <w:b/>
        </w:rPr>
        <w:t xml:space="preserve"> (sau đây viết tắt là Nghị định số </w:t>
      </w:r>
      <w:r w:rsidR="00406DA9" w:rsidRPr="00466C56">
        <w:rPr>
          <w:b/>
        </w:rPr>
        <w:t>117/2007/NĐ-CP</w:t>
      </w:r>
      <w:r w:rsidR="00406DA9">
        <w:rPr>
          <w:b/>
        </w:rPr>
        <w:t>)</w:t>
      </w:r>
      <w:r w:rsidR="00A931F4">
        <w:rPr>
          <w:b/>
        </w:rPr>
        <w:t xml:space="preserve"> </w:t>
      </w:r>
      <w:r w:rsidR="00406DA9">
        <w:rPr>
          <w:b/>
        </w:rPr>
        <w:t>như sau</w:t>
      </w:r>
      <w:r w:rsidR="00466C56" w:rsidRPr="00466C56">
        <w:rPr>
          <w:b/>
        </w:rPr>
        <w:t>:</w:t>
      </w:r>
    </w:p>
    <w:p w14:paraId="18324D54" w14:textId="26B53406" w:rsidR="00C8423B" w:rsidRDefault="000C2FDF" w:rsidP="006021A9">
      <w:pPr>
        <w:tabs>
          <w:tab w:val="right" w:leader="dot" w:pos="8472"/>
        </w:tabs>
        <w:spacing w:before="60" w:after="60" w:line="360" w:lineRule="exact"/>
        <w:ind w:firstLine="720"/>
        <w:jc w:val="both"/>
      </w:pPr>
      <w:r>
        <w:t>1</w:t>
      </w:r>
      <w:r w:rsidR="00C8423B" w:rsidRPr="00C8423B">
        <w:t xml:space="preserve">. </w:t>
      </w:r>
      <w:r w:rsidR="009F78CE">
        <w:t>S</w:t>
      </w:r>
      <w:r w:rsidR="009F78CE" w:rsidRPr="00466C56">
        <w:t xml:space="preserve">ửa đổi, bổ sung </w:t>
      </w:r>
      <w:r w:rsidR="00C8423B" w:rsidRPr="00C8423B">
        <w:t>Điều 12 Nghị định</w:t>
      </w:r>
      <w:r w:rsidR="009F78CE">
        <w:t xml:space="preserve"> số</w:t>
      </w:r>
      <w:r w:rsidR="00C8423B" w:rsidRPr="00C8423B">
        <w:t xml:space="preserve"> 117/2007/NĐ-CP</w:t>
      </w:r>
      <w:r w:rsidR="009F78CE">
        <w:t xml:space="preserve"> </w:t>
      </w:r>
      <w:r w:rsidR="00C8423B" w:rsidRPr="00466C56">
        <w:t>như sau</w:t>
      </w:r>
      <w:r w:rsidR="00C8423B">
        <w:t>:</w:t>
      </w:r>
    </w:p>
    <w:p w14:paraId="5CCD4457" w14:textId="77777777" w:rsidR="00C8423B" w:rsidRPr="009F78CE" w:rsidRDefault="00C8423B" w:rsidP="006021A9">
      <w:pPr>
        <w:spacing w:before="60" w:after="60" w:line="360" w:lineRule="exact"/>
        <w:ind w:firstLine="720"/>
        <w:jc w:val="both"/>
      </w:pPr>
      <w:bookmarkStart w:id="0" w:name="dieu_12"/>
      <w:proofErr w:type="gramStart"/>
      <w:r w:rsidRPr="009F78CE">
        <w:t>“Điều 12.</w:t>
      </w:r>
      <w:proofErr w:type="gramEnd"/>
      <w:r w:rsidRPr="009F78CE">
        <w:t xml:space="preserve"> Đối tượng lập quy hoạch cấp nước</w:t>
      </w:r>
      <w:bookmarkEnd w:id="0"/>
    </w:p>
    <w:p w14:paraId="49C3999E" w14:textId="77777777" w:rsidR="00C8423B" w:rsidRPr="009F78CE" w:rsidRDefault="00C8423B" w:rsidP="006021A9">
      <w:pPr>
        <w:spacing w:before="60" w:after="60" w:line="360" w:lineRule="exact"/>
        <w:ind w:firstLine="720"/>
        <w:jc w:val="both"/>
      </w:pPr>
      <w:r w:rsidRPr="009F78CE">
        <w:t xml:space="preserve">1. </w:t>
      </w:r>
      <w:r w:rsidR="00F76F31" w:rsidRPr="009F78CE">
        <w:t>Nội dung quy hoạch cấp nước được xác định trong quy hoạch vùng, quy hoạch tỉnh, quy hoạch xây dựng và quy hoạch đô thị</w:t>
      </w:r>
      <w:r w:rsidRPr="009F78CE">
        <w:t>.</w:t>
      </w:r>
    </w:p>
    <w:p w14:paraId="6FE91E55" w14:textId="4E9EF0F3" w:rsidR="00C8423B" w:rsidRPr="009F78CE" w:rsidRDefault="00C8423B" w:rsidP="006021A9">
      <w:pPr>
        <w:spacing w:before="60" w:after="60" w:line="360" w:lineRule="exact"/>
        <w:ind w:firstLine="720"/>
        <w:jc w:val="both"/>
      </w:pPr>
      <w:proofErr w:type="gramStart"/>
      <w:r w:rsidRPr="009F78CE">
        <w:t xml:space="preserve">2. </w:t>
      </w:r>
      <w:r w:rsidR="000C2FDF" w:rsidRPr="009F78CE">
        <w:t>Quy hoạch cấp nước đô thị được lập riêng đối với các thành phố trực thuộc trung ương</w:t>
      </w:r>
      <w:r w:rsidRPr="009F78CE">
        <w:t>”</w:t>
      </w:r>
      <w:r w:rsidR="009F78CE">
        <w:t>.</w:t>
      </w:r>
      <w:proofErr w:type="gramEnd"/>
    </w:p>
    <w:p w14:paraId="5D3D9E36" w14:textId="45F0DDC8" w:rsidR="009C6D0D" w:rsidRPr="009A434D" w:rsidRDefault="000C2FDF" w:rsidP="006021A9">
      <w:pPr>
        <w:tabs>
          <w:tab w:val="right" w:leader="dot" w:pos="8472"/>
        </w:tabs>
        <w:spacing w:before="60" w:after="60" w:line="360" w:lineRule="exact"/>
        <w:ind w:firstLine="720"/>
        <w:jc w:val="both"/>
      </w:pPr>
      <w:r>
        <w:t>2</w:t>
      </w:r>
      <w:r w:rsidR="00C011F0">
        <w:t xml:space="preserve">. </w:t>
      </w:r>
      <w:r w:rsidR="009F78CE">
        <w:t>S</w:t>
      </w:r>
      <w:r w:rsidR="009F78CE" w:rsidRPr="00466C56">
        <w:t xml:space="preserve">ửa đổi, bổ sung </w:t>
      </w:r>
      <w:r w:rsidR="00F76F31">
        <w:t xml:space="preserve">Khoản 1 </w:t>
      </w:r>
      <w:r w:rsidR="009C6D0D" w:rsidRPr="009A434D">
        <w:t xml:space="preserve">Điều 23 </w:t>
      </w:r>
      <w:r w:rsidR="00C8423B" w:rsidRPr="00C8423B">
        <w:t>Nghị định</w:t>
      </w:r>
      <w:r w:rsidR="009F78CE">
        <w:t xml:space="preserve"> số</w:t>
      </w:r>
      <w:r w:rsidR="00C8423B" w:rsidRPr="00C8423B">
        <w:t xml:space="preserve"> 117/2007/NĐ-CP </w:t>
      </w:r>
      <w:r w:rsidR="009C6D0D" w:rsidRPr="00466C56">
        <w:t>như sau</w:t>
      </w:r>
      <w:r w:rsidR="009C6D0D" w:rsidRPr="009A434D">
        <w:t>:</w:t>
      </w:r>
      <w:bookmarkStart w:id="1" w:name="_GoBack"/>
      <w:bookmarkEnd w:id="1"/>
    </w:p>
    <w:p w14:paraId="1FEB56DC" w14:textId="44792D7A" w:rsidR="000641B8" w:rsidRPr="009F78CE" w:rsidRDefault="009A434D" w:rsidP="006021A9">
      <w:pPr>
        <w:tabs>
          <w:tab w:val="right" w:leader="dot" w:pos="8472"/>
        </w:tabs>
        <w:spacing w:before="60" w:after="60" w:line="360" w:lineRule="exact"/>
        <w:ind w:firstLine="720"/>
        <w:jc w:val="both"/>
      </w:pPr>
      <w:r w:rsidRPr="009F78CE">
        <w:t>“</w:t>
      </w:r>
      <w:r w:rsidR="000641B8" w:rsidRPr="009F78CE">
        <w:t>1. Chiến lược phát triển kinh tế - xã hội, quốc phòng, an ninh, quy hoạch cấp quốc gia, quy hoạch vùng, quy hoạch tỉnh, quy hoạch có tính chất kỹ thuật, chuyên ngành cao hơn đã được phê duyệt.”</w:t>
      </w:r>
      <w:r w:rsidR="009F78CE" w:rsidRPr="009F78CE">
        <w:t>.</w:t>
      </w:r>
    </w:p>
    <w:p w14:paraId="226FF636" w14:textId="794BEE58" w:rsidR="00575D7D" w:rsidRPr="009F78CE" w:rsidRDefault="000C2FDF" w:rsidP="006021A9">
      <w:pPr>
        <w:tabs>
          <w:tab w:val="right" w:leader="dot" w:pos="8472"/>
        </w:tabs>
        <w:spacing w:before="60" w:after="60" w:line="360" w:lineRule="exact"/>
        <w:ind w:firstLine="720"/>
        <w:jc w:val="both"/>
      </w:pPr>
      <w:r w:rsidRPr="009F78CE">
        <w:t>3</w:t>
      </w:r>
      <w:r w:rsidR="00575D7D" w:rsidRPr="009F78CE">
        <w:t xml:space="preserve">. </w:t>
      </w:r>
      <w:r w:rsidR="009F78CE" w:rsidRPr="009F78CE">
        <w:t xml:space="preserve">Sửa đổi, bổ sung </w:t>
      </w:r>
      <w:r w:rsidR="00575D7D" w:rsidRPr="009F78CE">
        <w:t xml:space="preserve">Điều 26 </w:t>
      </w:r>
      <w:r w:rsidR="00A931F4" w:rsidRPr="009F78CE">
        <w:t>Nghị định</w:t>
      </w:r>
      <w:r w:rsidR="009F78CE" w:rsidRPr="009F78CE">
        <w:t xml:space="preserve"> số</w:t>
      </w:r>
      <w:r w:rsidR="00A931F4" w:rsidRPr="009F78CE">
        <w:t xml:space="preserve"> 117/2007/NĐ-CP </w:t>
      </w:r>
      <w:r w:rsidR="00575D7D" w:rsidRPr="009F78CE">
        <w:t>như sau:</w:t>
      </w:r>
    </w:p>
    <w:p w14:paraId="3C45499D" w14:textId="77777777" w:rsidR="00575D7D" w:rsidRPr="009F78CE" w:rsidRDefault="00575D7D" w:rsidP="006021A9">
      <w:pPr>
        <w:tabs>
          <w:tab w:val="right" w:leader="dot" w:pos="8472"/>
        </w:tabs>
        <w:spacing w:before="60" w:after="60" w:line="360" w:lineRule="exact"/>
        <w:ind w:firstLine="720"/>
        <w:jc w:val="both"/>
      </w:pPr>
      <w:proofErr w:type="gramStart"/>
      <w:r w:rsidRPr="009F78CE">
        <w:lastRenderedPageBreak/>
        <w:t>“Điều 26.</w:t>
      </w:r>
      <w:proofErr w:type="gramEnd"/>
      <w:r w:rsidRPr="009F78CE">
        <w:t xml:space="preserve"> Trách nhiệm lập, thời gian và thẩm quyền thẩm định, phê duyệt nhiệm vụ, đồ </w:t>
      </w:r>
      <w:proofErr w:type="gramStart"/>
      <w:r w:rsidRPr="009F78CE">
        <w:t>án</w:t>
      </w:r>
      <w:proofErr w:type="gramEnd"/>
      <w:r w:rsidRPr="009F78CE">
        <w:t xml:space="preserve"> quy hoạch cấp nước </w:t>
      </w:r>
    </w:p>
    <w:p w14:paraId="4925D743" w14:textId="77777777" w:rsidR="008F6E8C" w:rsidRPr="009F78CE" w:rsidRDefault="008F6E8C" w:rsidP="006021A9">
      <w:pPr>
        <w:spacing w:before="60" w:after="60" w:line="360" w:lineRule="exact"/>
        <w:ind w:firstLine="720"/>
        <w:jc w:val="both"/>
      </w:pPr>
      <w:r w:rsidRPr="009F78CE">
        <w:t xml:space="preserve">1. Ủy ban nhân dân thành phố trực thuộc trung ương có trách nhiệm tổ chức lập nhiệm vụ, đồ </w:t>
      </w:r>
      <w:proofErr w:type="gramStart"/>
      <w:r w:rsidRPr="009F78CE">
        <w:t>án</w:t>
      </w:r>
      <w:proofErr w:type="gramEnd"/>
      <w:r w:rsidRPr="009F78CE">
        <w:t xml:space="preserve"> quy hoạch cấp nước đô thị trong địa giới hành chính do mình quản lý.</w:t>
      </w:r>
    </w:p>
    <w:p w14:paraId="4BC00D44" w14:textId="77777777" w:rsidR="008F6E8C" w:rsidRPr="009F78CE" w:rsidRDefault="008F6E8C" w:rsidP="006021A9">
      <w:pPr>
        <w:spacing w:before="60" w:after="60" w:line="360" w:lineRule="exact"/>
        <w:ind w:firstLine="720"/>
        <w:jc w:val="both"/>
      </w:pPr>
      <w:r w:rsidRPr="009F78CE">
        <w:t xml:space="preserve">2. Thẩm quyền thẩm định nhiệm vụ, đồ </w:t>
      </w:r>
      <w:proofErr w:type="gramStart"/>
      <w:r w:rsidRPr="009F78CE">
        <w:t>án</w:t>
      </w:r>
      <w:proofErr w:type="gramEnd"/>
      <w:r w:rsidRPr="009F78CE">
        <w:t xml:space="preserve"> quy hoạch cấp nước:</w:t>
      </w:r>
    </w:p>
    <w:p w14:paraId="21C9C112" w14:textId="77777777" w:rsidR="008F6E8C" w:rsidRPr="009F78CE" w:rsidRDefault="008F6E8C" w:rsidP="006021A9">
      <w:pPr>
        <w:spacing w:before="60" w:after="60" w:line="360" w:lineRule="exact"/>
        <w:ind w:firstLine="720"/>
        <w:jc w:val="both"/>
      </w:pPr>
      <w:r w:rsidRPr="009F78CE">
        <w:t xml:space="preserve">a) Ủy ban nhân dân thành phố trực thuộc trung ương là đô thị loại đặc biệt trình Bộ Xây dựng thẩm định và trình Thủ tướng Chính phủ phê duyệt nhiệm vụ và đồ </w:t>
      </w:r>
      <w:proofErr w:type="gramStart"/>
      <w:r w:rsidRPr="009F78CE">
        <w:t>án</w:t>
      </w:r>
      <w:proofErr w:type="gramEnd"/>
      <w:r w:rsidRPr="009F78CE">
        <w:t xml:space="preserve"> quy hoạch cấp nước. </w:t>
      </w:r>
    </w:p>
    <w:p w14:paraId="5400A16F" w14:textId="77777777" w:rsidR="008F6E8C" w:rsidRPr="009F78CE" w:rsidRDefault="008F6E8C" w:rsidP="006021A9">
      <w:pPr>
        <w:spacing w:before="60" w:after="60" w:line="360" w:lineRule="exact"/>
        <w:ind w:firstLine="720"/>
        <w:jc w:val="both"/>
      </w:pPr>
      <w:r w:rsidRPr="009F78CE">
        <w:t xml:space="preserve">b) Cơ quan quản lý quy hoạch đô thị của thành phố trực thuộc trung ương thẩm định và trình Ủy ban nhân dân cấp tỉnh phê duyệt nhiệm vụ và đồ án quy hoạch cấp nước trừ những quy hoạch tại </w:t>
      </w:r>
      <w:r w:rsidR="002361FF" w:rsidRPr="009F78CE">
        <w:t>điểm</w:t>
      </w:r>
      <w:r w:rsidRPr="009F78CE">
        <w:t xml:space="preserve"> a </w:t>
      </w:r>
      <w:r w:rsidR="00D41F25" w:rsidRPr="009F78CE">
        <w:t xml:space="preserve">khoản 2 </w:t>
      </w:r>
      <w:r w:rsidRPr="009F78CE">
        <w:t>Điều này;</w:t>
      </w:r>
    </w:p>
    <w:p w14:paraId="373E0D9F" w14:textId="2A638CBC" w:rsidR="008F6E8C" w:rsidRPr="009F78CE" w:rsidRDefault="008F6E8C" w:rsidP="006021A9">
      <w:pPr>
        <w:spacing w:before="60" w:after="60" w:line="360" w:lineRule="exact"/>
        <w:ind w:firstLine="720"/>
        <w:jc w:val="both"/>
      </w:pPr>
      <w:r w:rsidRPr="009F78CE">
        <w:t xml:space="preserve">c) Trước khi phê duyệt nhiệm vụ và đồ </w:t>
      </w:r>
      <w:proofErr w:type="gramStart"/>
      <w:r w:rsidRPr="009F78CE">
        <w:t>án</w:t>
      </w:r>
      <w:proofErr w:type="gramEnd"/>
      <w:r w:rsidR="00D41F25" w:rsidRPr="009F78CE">
        <w:t xml:space="preserve"> quy hoạch cấp nước tại </w:t>
      </w:r>
      <w:r w:rsidR="002361FF" w:rsidRPr="009F78CE">
        <w:t>điểm</w:t>
      </w:r>
      <w:r w:rsidR="00D41F25" w:rsidRPr="009F78CE">
        <w:t xml:space="preserve"> b khoảng 2 </w:t>
      </w:r>
      <w:r w:rsidRPr="009F78CE">
        <w:t>Điều này, Ủy ban nhân dân thành</w:t>
      </w:r>
      <w:r w:rsidR="00425C39" w:rsidRPr="009F78CE">
        <w:t xml:space="preserve"> phố trực thuộc trung ương phải </w:t>
      </w:r>
      <w:r w:rsidRPr="009F78CE">
        <w:t>có ý kiến thống nhất bằng văn bản của Bộ Xây dựng.</w:t>
      </w:r>
    </w:p>
    <w:p w14:paraId="629D4E9F" w14:textId="6FD2B5EA" w:rsidR="008F6E8C" w:rsidRPr="009F78CE" w:rsidRDefault="008F6E8C" w:rsidP="006021A9">
      <w:pPr>
        <w:spacing w:before="60" w:after="60" w:line="360" w:lineRule="exact"/>
        <w:ind w:firstLine="720"/>
        <w:jc w:val="both"/>
      </w:pPr>
      <w:r w:rsidRPr="009F78CE">
        <w:t xml:space="preserve">3. Thời gian thẩm định, phê duyệt </w:t>
      </w:r>
      <w:r w:rsidR="0093399D" w:rsidRPr="009F78CE">
        <w:t xml:space="preserve">nhiệm vụ và đồ </w:t>
      </w:r>
      <w:proofErr w:type="gramStart"/>
      <w:r w:rsidR="0093399D" w:rsidRPr="009F78CE">
        <w:t>án</w:t>
      </w:r>
      <w:proofErr w:type="gramEnd"/>
      <w:r w:rsidR="0093399D" w:rsidRPr="009F78CE">
        <w:t xml:space="preserve"> </w:t>
      </w:r>
      <w:r w:rsidRPr="009F78CE">
        <w:t xml:space="preserve">quy hoạch cấp nước: </w:t>
      </w:r>
    </w:p>
    <w:p w14:paraId="47DE1D00" w14:textId="510C9638" w:rsidR="008F6E8C" w:rsidRPr="009F78CE" w:rsidRDefault="008F6E8C" w:rsidP="006021A9">
      <w:pPr>
        <w:spacing w:before="60" w:after="60" w:line="360" w:lineRule="exact"/>
        <w:ind w:firstLine="720"/>
        <w:jc w:val="both"/>
      </w:pPr>
      <w:r w:rsidRPr="009F78CE">
        <w:t xml:space="preserve">a) Thời gian thẩm định </w:t>
      </w:r>
      <w:r w:rsidR="0093399D" w:rsidRPr="009F78CE">
        <w:t xml:space="preserve">nhiệm vụ và </w:t>
      </w:r>
      <w:r w:rsidRPr="009F78CE">
        <w:t xml:space="preserve">đồ án không quá 20 ngày, thời gian phê duyệt </w:t>
      </w:r>
      <w:r w:rsidR="0093399D" w:rsidRPr="009F78CE">
        <w:t xml:space="preserve">nhiệm vụ và </w:t>
      </w:r>
      <w:r w:rsidRPr="009F78CE">
        <w:t>đồ án không quá 15 ngày kể từ ngày nhận đủ hồ sơ hợp lệ theo quy định.</w:t>
      </w:r>
    </w:p>
    <w:p w14:paraId="2F0B70C7" w14:textId="3767FD19" w:rsidR="00575D7D" w:rsidRPr="009F78CE" w:rsidRDefault="008F6E8C" w:rsidP="006021A9">
      <w:pPr>
        <w:spacing w:before="60" w:after="60" w:line="360" w:lineRule="exact"/>
        <w:ind w:firstLine="720"/>
        <w:jc w:val="both"/>
      </w:pPr>
      <w:r w:rsidRPr="009F78CE">
        <w:t>b) Bộ Xây dựng xem xét, có ý kiến đối với đồ án quy hoạch cấp nước được quy định tại điểm b khoản 3 Điều này trong thời hạn 20 ngày làm việc, kể từ ngày ngày nhậ</w:t>
      </w:r>
      <w:r w:rsidR="009F78CE" w:rsidRPr="009F78CE">
        <w:t>n đủ hồ sơ hợp lệ theo quy định.</w:t>
      </w:r>
      <w:r w:rsidR="00575D7D" w:rsidRPr="009F78CE">
        <w:t>”</w:t>
      </w:r>
      <w:r w:rsidR="009F78CE" w:rsidRPr="009F78CE">
        <w:t>.</w:t>
      </w:r>
    </w:p>
    <w:p w14:paraId="64F24BB9" w14:textId="044159F8" w:rsidR="005E24A9" w:rsidRPr="009F78CE" w:rsidRDefault="000C2FDF" w:rsidP="006021A9">
      <w:pPr>
        <w:tabs>
          <w:tab w:val="right" w:leader="dot" w:pos="8472"/>
        </w:tabs>
        <w:spacing w:before="60" w:after="60" w:line="360" w:lineRule="exact"/>
        <w:ind w:firstLine="720"/>
        <w:jc w:val="both"/>
      </w:pPr>
      <w:r w:rsidRPr="009F78CE">
        <w:t xml:space="preserve">4. </w:t>
      </w:r>
      <w:r w:rsidR="009F78CE" w:rsidRPr="009F78CE">
        <w:t>Sửa đổi, bổ sung đ</w:t>
      </w:r>
      <w:r w:rsidR="00B84C38" w:rsidRPr="009F78CE">
        <w:t xml:space="preserve">iểm a </w:t>
      </w:r>
      <w:r w:rsidRPr="009F78CE">
        <w:t>Khoản 1,</w:t>
      </w:r>
      <w:r w:rsidR="005E24A9" w:rsidRPr="009F78CE">
        <w:t xml:space="preserve"> Điều 28 </w:t>
      </w:r>
      <w:r w:rsidR="00A931F4" w:rsidRPr="009F78CE">
        <w:t>Nghị định</w:t>
      </w:r>
      <w:r w:rsidR="009F78CE" w:rsidRPr="009F78CE">
        <w:t xml:space="preserve"> số 117/2007/NĐ-CP </w:t>
      </w:r>
      <w:r w:rsidR="005E24A9" w:rsidRPr="009F78CE">
        <w:t>như sau:</w:t>
      </w:r>
    </w:p>
    <w:p w14:paraId="3E4FD259" w14:textId="5A252FF2" w:rsidR="005E24A9" w:rsidRPr="009F78CE" w:rsidRDefault="005E24A9" w:rsidP="006021A9">
      <w:pPr>
        <w:tabs>
          <w:tab w:val="right" w:leader="dot" w:pos="8472"/>
        </w:tabs>
        <w:spacing w:before="60" w:after="60" w:line="360" w:lineRule="exact"/>
        <w:ind w:firstLine="720"/>
        <w:jc w:val="both"/>
      </w:pPr>
      <w:r w:rsidRPr="009F78CE">
        <w:t>“</w:t>
      </w:r>
      <w:r w:rsidR="008F6E8C" w:rsidRPr="009F78CE">
        <w:t xml:space="preserve">a) </w:t>
      </w:r>
      <w:r w:rsidR="00B84C38" w:rsidRPr="009F78CE">
        <w:t>Có sự điều chỉnh về chiến lược phát triển kinh tế - xã hội, quốc phòng, an ninh, quy hoạch cấp quốc gia, quy hoạch vùng, quy hoạch tỉnh, quy hoạch xây dựng và quy hoạch đô thị</w:t>
      </w:r>
      <w:r w:rsidR="009F78CE" w:rsidRPr="009F78CE">
        <w:t>;</w:t>
      </w:r>
      <w:r w:rsidRPr="009F78CE">
        <w:t>”</w:t>
      </w:r>
      <w:r w:rsidR="00AB5441" w:rsidRPr="009F78CE">
        <w:t>.</w:t>
      </w:r>
    </w:p>
    <w:p w14:paraId="063A4BEF" w14:textId="1D7DEEEC" w:rsidR="009F78CE" w:rsidRPr="009F78CE" w:rsidRDefault="00462E63" w:rsidP="009F78CE">
      <w:pPr>
        <w:tabs>
          <w:tab w:val="right" w:leader="dot" w:pos="8472"/>
        </w:tabs>
        <w:spacing w:before="60" w:after="60" w:line="360" w:lineRule="exact"/>
        <w:ind w:firstLine="720"/>
        <w:jc w:val="both"/>
      </w:pPr>
      <w:r>
        <w:t>5</w:t>
      </w:r>
      <w:r w:rsidR="0053339E" w:rsidRPr="009F78CE">
        <w:t xml:space="preserve">. </w:t>
      </w:r>
      <w:r w:rsidR="009F78CE" w:rsidRPr="009F78CE">
        <w:t xml:space="preserve">Sửa đổi, bổ sung </w:t>
      </w:r>
      <w:r w:rsidR="0053339E" w:rsidRPr="009F78CE">
        <w:t>Điểm a Khoản 6 Điều 29</w:t>
      </w:r>
      <w:r w:rsidR="009F78CE" w:rsidRPr="009F78CE">
        <w:t xml:space="preserve"> Nghị định 117/2007/NĐ-CP như sau:</w:t>
      </w:r>
    </w:p>
    <w:p w14:paraId="5CA0FBDB" w14:textId="057FCC38" w:rsidR="0053339E" w:rsidRPr="009F78CE" w:rsidRDefault="009F78CE" w:rsidP="009F78CE">
      <w:pPr>
        <w:tabs>
          <w:tab w:val="right" w:leader="dot" w:pos="8472"/>
        </w:tabs>
        <w:spacing w:before="60" w:after="60" w:line="360" w:lineRule="exact"/>
        <w:ind w:firstLine="720"/>
        <w:jc w:val="both"/>
      </w:pPr>
      <w:r w:rsidRPr="009F78CE">
        <w:t xml:space="preserve"> </w:t>
      </w:r>
      <w:r w:rsidR="0053339E" w:rsidRPr="009F78CE">
        <w:t>“</w:t>
      </w:r>
      <w:r w:rsidR="008F6E8C" w:rsidRPr="009F78CE">
        <w:t xml:space="preserve">a) Ủy ban nhân dân </w:t>
      </w:r>
      <w:proofErr w:type="gramStart"/>
      <w:r w:rsidR="008F6E8C" w:rsidRPr="009F78CE">
        <w:t>theo</w:t>
      </w:r>
      <w:proofErr w:type="gramEnd"/>
      <w:r w:rsidR="008F6E8C" w:rsidRPr="009F78CE">
        <w:t xml:space="preserve"> phân cấp tổ chức lựa chọn đơn vị cấp nước, có sự tham gia của các địa phương trong vùng cấp nước;</w:t>
      </w:r>
      <w:r w:rsidR="0053339E" w:rsidRPr="009F78CE">
        <w:t>”</w:t>
      </w:r>
    </w:p>
    <w:p w14:paraId="26EAF6A6" w14:textId="521CA37A" w:rsidR="00896992" w:rsidRPr="009F78CE" w:rsidRDefault="00462E63" w:rsidP="006021A9">
      <w:pPr>
        <w:tabs>
          <w:tab w:val="right" w:leader="dot" w:pos="8472"/>
        </w:tabs>
        <w:spacing w:before="60" w:after="60" w:line="360" w:lineRule="exact"/>
        <w:ind w:firstLine="720"/>
        <w:jc w:val="both"/>
      </w:pPr>
      <w:r>
        <w:t>6</w:t>
      </w:r>
      <w:r w:rsidR="0053339E" w:rsidRPr="009F78CE">
        <w:t xml:space="preserve">. Bãi bỏ </w:t>
      </w:r>
      <w:r w:rsidR="00896992" w:rsidRPr="009F78CE">
        <w:t>Điều 14, Điều 15, Điều 16, Điều 17, Điều 18, Điều 19, Điều 20</w:t>
      </w:r>
      <w:r w:rsidR="00A931F4" w:rsidRPr="009F78CE">
        <w:t xml:space="preserve"> Nghị định 117/2007/NĐ-CP</w:t>
      </w:r>
      <w:r w:rsidR="00896992" w:rsidRPr="009F78CE">
        <w:t>.</w:t>
      </w:r>
    </w:p>
    <w:p w14:paraId="1D4345BE" w14:textId="4E63E104" w:rsidR="002361FF" w:rsidRPr="009F78CE" w:rsidRDefault="00462E63" w:rsidP="006021A9">
      <w:pPr>
        <w:tabs>
          <w:tab w:val="right" w:leader="dot" w:pos="8472"/>
        </w:tabs>
        <w:spacing w:before="60" w:after="60" w:line="360" w:lineRule="exact"/>
        <w:ind w:firstLine="720"/>
        <w:jc w:val="both"/>
      </w:pPr>
      <w:r>
        <w:t>7</w:t>
      </w:r>
      <w:r w:rsidR="002361FF" w:rsidRPr="009F78CE">
        <w:t>. Thay thế cụm từ “Ủy ban nhân dân” bằng cụm từ “Ủy ban nhân dân theo phân cấp” tại Khoản 1 Điều 31, Khoảng 3 Điều 33, Điều 36, điểm d Khoản 2 Điều 38, Khoản 3 Điều 44</w:t>
      </w:r>
      <w:r w:rsidR="00AB5441" w:rsidRPr="009F78CE">
        <w:t>.</w:t>
      </w:r>
    </w:p>
    <w:p w14:paraId="03E5AE80" w14:textId="0FE14B60" w:rsidR="00195F7F" w:rsidRPr="009F78CE" w:rsidRDefault="00195F7F" w:rsidP="006021A9">
      <w:pPr>
        <w:tabs>
          <w:tab w:val="right" w:leader="dot" w:pos="8472"/>
        </w:tabs>
        <w:spacing w:before="60" w:after="60" w:line="360" w:lineRule="exact"/>
        <w:ind w:firstLine="720"/>
        <w:jc w:val="both"/>
        <w:rPr>
          <w:b/>
        </w:rPr>
      </w:pPr>
      <w:proofErr w:type="gramStart"/>
      <w:r w:rsidRPr="009F78CE">
        <w:rPr>
          <w:b/>
        </w:rPr>
        <w:lastRenderedPageBreak/>
        <w:t xml:space="preserve">Điều </w:t>
      </w:r>
      <w:r w:rsidR="00671183">
        <w:rPr>
          <w:b/>
        </w:rPr>
        <w:t>2</w:t>
      </w:r>
      <w:r w:rsidRPr="009F78CE">
        <w:rPr>
          <w:b/>
        </w:rPr>
        <w:t>.</w:t>
      </w:r>
      <w:proofErr w:type="gramEnd"/>
      <w:r w:rsidRPr="009F78CE">
        <w:rPr>
          <w:b/>
        </w:rPr>
        <w:t xml:space="preserve"> Sửa đổi, bổ sung, bãi bỏ một số điều của Nghị định số 23/2016/NĐ-CP ngày 05/4/2016 của Chính phủ về xây dựng, quản lý sử dụng nghĩa trang và cơ sở hỏa </w:t>
      </w:r>
      <w:r w:rsidR="00260E14">
        <w:rPr>
          <w:b/>
        </w:rPr>
        <w:t xml:space="preserve">táng (sau đây gọi tắt là Nghị định số </w:t>
      </w:r>
      <w:r w:rsidR="00260E14" w:rsidRPr="009F78CE">
        <w:rPr>
          <w:b/>
        </w:rPr>
        <w:t>23/2016/NĐ-CP</w:t>
      </w:r>
      <w:r w:rsidR="00260E14">
        <w:rPr>
          <w:b/>
        </w:rPr>
        <w:t>)</w:t>
      </w:r>
      <w:r w:rsidR="00326B5D">
        <w:rPr>
          <w:b/>
        </w:rPr>
        <w:t xml:space="preserve"> như sau</w:t>
      </w:r>
      <w:r w:rsidRPr="009F78CE">
        <w:rPr>
          <w:b/>
        </w:rPr>
        <w:t>:</w:t>
      </w:r>
    </w:p>
    <w:p w14:paraId="1D64179B" w14:textId="0DE5D48B" w:rsidR="009E2DFB" w:rsidRPr="009F78CE" w:rsidRDefault="009E2DFB" w:rsidP="006021A9">
      <w:pPr>
        <w:tabs>
          <w:tab w:val="right" w:leader="dot" w:pos="8472"/>
        </w:tabs>
        <w:spacing w:before="60" w:after="60" w:line="360" w:lineRule="exact"/>
        <w:ind w:firstLine="720"/>
        <w:jc w:val="both"/>
      </w:pPr>
      <w:r w:rsidRPr="009F78CE">
        <w:t xml:space="preserve">1. </w:t>
      </w:r>
      <w:r w:rsidR="00260E14">
        <w:t>S</w:t>
      </w:r>
      <w:r w:rsidR="00260E14" w:rsidRPr="009F78CE">
        <w:t xml:space="preserve">ửa đổi </w:t>
      </w:r>
      <w:r w:rsidRPr="009F78CE">
        <w:t>Khoản 1 Điều 20</w:t>
      </w:r>
      <w:r w:rsidR="00260E14" w:rsidRPr="00260E14">
        <w:t xml:space="preserve"> Nghị định số 23/2016/NĐ-CP</w:t>
      </w:r>
      <w:r w:rsidRPr="009F78CE">
        <w:t xml:space="preserve"> như sau:</w:t>
      </w:r>
    </w:p>
    <w:p w14:paraId="23EA4424" w14:textId="7B04FA47" w:rsidR="009E2DFB" w:rsidRPr="009F78CE" w:rsidRDefault="009E2DFB" w:rsidP="006021A9">
      <w:pPr>
        <w:pStyle w:val="NormalWeb"/>
        <w:shd w:val="clear" w:color="auto" w:fill="FFFFFF"/>
        <w:spacing w:before="60" w:beforeAutospacing="0" w:after="60" w:afterAutospacing="0" w:line="360" w:lineRule="exact"/>
        <w:ind w:firstLine="709"/>
        <w:jc w:val="both"/>
        <w:rPr>
          <w:color w:val="000000"/>
          <w:sz w:val="28"/>
          <w:szCs w:val="28"/>
          <w:lang w:val="sv-SE"/>
        </w:rPr>
      </w:pPr>
      <w:r w:rsidRPr="009F78CE">
        <w:rPr>
          <w:color w:val="000000"/>
          <w:sz w:val="28"/>
          <w:szCs w:val="28"/>
          <w:lang w:val="sv-SE"/>
        </w:rPr>
        <w:t xml:space="preserve">“1. Cơ sở hỏa táng phải được xây dựng </w:t>
      </w:r>
      <w:r w:rsidR="006021A9" w:rsidRPr="009F78CE">
        <w:rPr>
          <w:color w:val="000000"/>
          <w:sz w:val="28"/>
          <w:szCs w:val="28"/>
          <w:lang w:val="sv-SE"/>
        </w:rPr>
        <w:t>phù hợp quy hoạch tỉnh,</w:t>
      </w:r>
      <w:r w:rsidRPr="009F78CE">
        <w:rPr>
          <w:color w:val="000000"/>
          <w:sz w:val="28"/>
          <w:szCs w:val="28"/>
          <w:lang w:val="sv-SE"/>
        </w:rPr>
        <w:t xml:space="preserve"> quy hoạch xây dựng, quy hoạch </w:t>
      </w:r>
      <w:r w:rsidR="006021A9" w:rsidRPr="009F78CE">
        <w:rPr>
          <w:color w:val="000000"/>
          <w:sz w:val="28"/>
          <w:szCs w:val="28"/>
          <w:lang w:val="sv-SE"/>
        </w:rPr>
        <w:t>đô thị</w:t>
      </w:r>
      <w:r w:rsidRPr="009F78CE">
        <w:rPr>
          <w:color w:val="000000"/>
          <w:sz w:val="28"/>
          <w:szCs w:val="28"/>
          <w:lang w:val="sv-SE"/>
        </w:rPr>
        <w:t xml:space="preserve"> hoặc quy hoạch ngành có liên quan, quy hoạch chi tiết xây dựng cơ sở hỏa táng được cấp có thẩm quyền phê duyệt.”</w:t>
      </w:r>
    </w:p>
    <w:p w14:paraId="6D44E0B5" w14:textId="26D9E0AB" w:rsidR="009E2DFB" w:rsidRPr="009F78CE" w:rsidRDefault="009E2DFB" w:rsidP="006021A9">
      <w:pPr>
        <w:tabs>
          <w:tab w:val="right" w:leader="dot" w:pos="8472"/>
        </w:tabs>
        <w:spacing w:before="60" w:after="60" w:line="360" w:lineRule="exact"/>
        <w:ind w:firstLine="720"/>
        <w:jc w:val="both"/>
      </w:pPr>
      <w:r w:rsidRPr="009F78CE">
        <w:t xml:space="preserve">2. </w:t>
      </w:r>
      <w:r w:rsidR="00260E14">
        <w:t>S</w:t>
      </w:r>
      <w:r w:rsidR="00260E14" w:rsidRPr="009F78CE">
        <w:t xml:space="preserve">ửa đổi </w:t>
      </w:r>
      <w:r w:rsidRPr="009F78CE">
        <w:t xml:space="preserve">Khoản 1 Điều 23 </w:t>
      </w:r>
      <w:r w:rsidR="00260E14" w:rsidRPr="00260E14">
        <w:t>Nghị định số 23/2016/NĐ-CP</w:t>
      </w:r>
      <w:r w:rsidRPr="009F78CE">
        <w:t xml:space="preserve"> như sau:</w:t>
      </w:r>
    </w:p>
    <w:p w14:paraId="066D7279" w14:textId="77777777" w:rsidR="009E2DFB" w:rsidRPr="009F78CE" w:rsidRDefault="009E2DFB" w:rsidP="006021A9">
      <w:pPr>
        <w:pStyle w:val="NormalWeb"/>
        <w:shd w:val="clear" w:color="auto" w:fill="FFFFFF"/>
        <w:spacing w:before="60" w:beforeAutospacing="0" w:after="60" w:afterAutospacing="0" w:line="360" w:lineRule="exact"/>
        <w:ind w:firstLine="709"/>
        <w:jc w:val="both"/>
        <w:rPr>
          <w:color w:val="000000"/>
          <w:sz w:val="28"/>
          <w:szCs w:val="28"/>
          <w:lang w:val="sv-SE"/>
        </w:rPr>
      </w:pPr>
      <w:r w:rsidRPr="009F78CE">
        <w:rPr>
          <w:color w:val="000000"/>
          <w:sz w:val="28"/>
          <w:szCs w:val="28"/>
          <w:lang w:val="sv-SE"/>
        </w:rPr>
        <w:t>“1. Đơn vị quản lý vận hành cơ sở hỏa táng phải đáp ứng các yêu cầu sau:”</w:t>
      </w:r>
    </w:p>
    <w:p w14:paraId="2FCD4308" w14:textId="77777777" w:rsidR="009E2DFB" w:rsidRPr="009F78CE" w:rsidRDefault="009E2DFB" w:rsidP="006021A9">
      <w:pPr>
        <w:tabs>
          <w:tab w:val="right" w:leader="dot" w:pos="8472"/>
        </w:tabs>
        <w:spacing w:before="60" w:after="60" w:line="360" w:lineRule="exact"/>
        <w:ind w:firstLine="720"/>
        <w:jc w:val="both"/>
      </w:pPr>
      <w:r w:rsidRPr="009F78CE">
        <w:t>3. Bãi bỏ khoản 13 Điều 2, Điều 7.</w:t>
      </w:r>
    </w:p>
    <w:p w14:paraId="709150C9" w14:textId="77777777" w:rsidR="009E2DFB" w:rsidRPr="009F78CE" w:rsidRDefault="009E2DFB" w:rsidP="006021A9">
      <w:pPr>
        <w:tabs>
          <w:tab w:val="right" w:leader="dot" w:pos="8472"/>
        </w:tabs>
        <w:spacing w:before="60" w:after="60" w:line="360" w:lineRule="exact"/>
        <w:ind w:firstLine="720"/>
        <w:jc w:val="both"/>
      </w:pPr>
      <w:r w:rsidRPr="009F78CE">
        <w:t>4. Bỏ cụm từ “quy hoạch nghĩa trang vùng tỉnh” tại Khoản 1 Điều 25.</w:t>
      </w:r>
    </w:p>
    <w:p w14:paraId="11D528C8" w14:textId="6F9278EB" w:rsidR="009F7A24" w:rsidRPr="009F78CE" w:rsidRDefault="00AB5441" w:rsidP="006021A9">
      <w:pPr>
        <w:tabs>
          <w:tab w:val="right" w:leader="dot" w:pos="8472"/>
        </w:tabs>
        <w:spacing w:before="60" w:after="60" w:line="360" w:lineRule="exact"/>
        <w:ind w:firstLine="720"/>
        <w:jc w:val="both"/>
      </w:pPr>
      <w:r w:rsidRPr="009F78CE">
        <w:t xml:space="preserve">5. Thay thế cụm từ </w:t>
      </w:r>
      <w:r w:rsidR="009E2DFB" w:rsidRPr="009F78CE">
        <w:t>“quy hoạch nghĩa trang vùng tỉnh” bằng cụm từ “quy hoạch tỉnh</w:t>
      </w:r>
      <w:r w:rsidR="00441BF5" w:rsidRPr="009F78CE">
        <w:t>, quy hoạch đô thị</w:t>
      </w:r>
      <w:r w:rsidR="009E2DFB" w:rsidRPr="009F78CE">
        <w:t xml:space="preserve"> và quy hoạch </w:t>
      </w:r>
      <w:r w:rsidR="00A00DDC" w:rsidRPr="009F78CE">
        <w:t xml:space="preserve">ngành có liên quan” tại điểm b </w:t>
      </w:r>
      <w:r w:rsidR="009E2DFB" w:rsidRPr="009F78CE">
        <w:t>Khoản 3 Điều 8, Khoản 1 Điều 9, Khoản 1 và điểm a Khoản 2 Đ</w:t>
      </w:r>
      <w:r w:rsidR="00A00DDC" w:rsidRPr="009F78CE">
        <w:t>iều 10, Khoản 1 Điều 11, điểm a</w:t>
      </w:r>
      <w:r w:rsidR="009E2DFB" w:rsidRPr="009F78CE">
        <w:t xml:space="preserve"> Khoản 1 Điều 12, Khoản 1 Điều 14.</w:t>
      </w:r>
    </w:p>
    <w:p w14:paraId="398A3A94" w14:textId="2FEB7187" w:rsidR="009A28F7" w:rsidRPr="009F78CE" w:rsidRDefault="00DA47C5" w:rsidP="006021A9">
      <w:pPr>
        <w:tabs>
          <w:tab w:val="right" w:leader="dot" w:pos="8472"/>
        </w:tabs>
        <w:spacing w:before="60" w:after="60" w:line="360" w:lineRule="exact"/>
        <w:ind w:firstLine="720"/>
        <w:jc w:val="both"/>
        <w:rPr>
          <w:b/>
        </w:rPr>
      </w:pPr>
      <w:r w:rsidRPr="009F78CE">
        <w:rPr>
          <w:b/>
        </w:rPr>
        <w:t xml:space="preserve"> </w:t>
      </w:r>
      <w:proofErr w:type="gramStart"/>
      <w:r w:rsidR="00195F7F" w:rsidRPr="009F78CE">
        <w:rPr>
          <w:b/>
        </w:rPr>
        <w:t xml:space="preserve">Điều </w:t>
      </w:r>
      <w:r w:rsidR="00671183">
        <w:rPr>
          <w:b/>
        </w:rPr>
        <w:t>3</w:t>
      </w:r>
      <w:r w:rsidR="00195F7F" w:rsidRPr="009F78CE">
        <w:rPr>
          <w:b/>
        </w:rPr>
        <w:t>.</w:t>
      </w:r>
      <w:proofErr w:type="gramEnd"/>
      <w:r w:rsidR="00195F7F" w:rsidRPr="009F78CE">
        <w:rPr>
          <w:b/>
        </w:rPr>
        <w:t xml:space="preserve"> Sửa đổi, bổ sung, bãi bỏ một số điều của Nghị định số 80/2014/NĐ-CP ngày 6/8/2014 của Chính phủ về thoát nước và xử lý nước thải</w:t>
      </w:r>
      <w:r w:rsidR="00260E14">
        <w:rPr>
          <w:b/>
        </w:rPr>
        <w:t xml:space="preserve"> (sau đây gọi tắt là</w:t>
      </w:r>
      <w:r w:rsidR="00260E14" w:rsidRPr="00260E14">
        <w:rPr>
          <w:b/>
        </w:rPr>
        <w:t xml:space="preserve"> </w:t>
      </w:r>
      <w:r w:rsidR="00260E14" w:rsidRPr="009F78CE">
        <w:rPr>
          <w:b/>
        </w:rPr>
        <w:t>Nghị định số 80/2014/NĐ-CP</w:t>
      </w:r>
      <w:r w:rsidR="00260E14">
        <w:rPr>
          <w:b/>
        </w:rPr>
        <w:t>) như sau</w:t>
      </w:r>
      <w:r w:rsidR="00195F7F" w:rsidRPr="009F78CE">
        <w:rPr>
          <w:b/>
        </w:rPr>
        <w:t>:</w:t>
      </w:r>
    </w:p>
    <w:p w14:paraId="06F602E8" w14:textId="4E8F9D1E" w:rsidR="00195F7F" w:rsidRPr="009F78CE" w:rsidRDefault="0087092D" w:rsidP="006021A9">
      <w:pPr>
        <w:tabs>
          <w:tab w:val="right" w:leader="dot" w:pos="8472"/>
        </w:tabs>
        <w:spacing w:before="60" w:after="60" w:line="360" w:lineRule="exact"/>
        <w:ind w:firstLine="720"/>
        <w:jc w:val="both"/>
      </w:pPr>
      <w:r>
        <w:t>S</w:t>
      </w:r>
      <w:r w:rsidRPr="009F78CE">
        <w:t xml:space="preserve">ửa đổi </w:t>
      </w:r>
      <w:r w:rsidR="00195F7F" w:rsidRPr="009F78CE">
        <w:t>Điều 5</w:t>
      </w:r>
      <w:r w:rsidRPr="0087092D">
        <w:t xml:space="preserve"> Nghị định số 80/2014/NĐ-CP</w:t>
      </w:r>
      <w:r w:rsidR="00195F7F" w:rsidRPr="009F78CE">
        <w:t xml:space="preserve"> như sau:</w:t>
      </w:r>
    </w:p>
    <w:p w14:paraId="26DA282B" w14:textId="77777777" w:rsidR="00195F7F" w:rsidRPr="009F78CE" w:rsidRDefault="00195F7F" w:rsidP="006021A9">
      <w:pPr>
        <w:tabs>
          <w:tab w:val="right" w:leader="dot" w:pos="8472"/>
        </w:tabs>
        <w:spacing w:before="60" w:after="60" w:line="360" w:lineRule="exact"/>
        <w:ind w:firstLine="720"/>
        <w:jc w:val="both"/>
      </w:pPr>
      <w:proofErr w:type="gramStart"/>
      <w:r w:rsidRPr="009F78CE">
        <w:t>“Điều 5.</w:t>
      </w:r>
      <w:proofErr w:type="gramEnd"/>
      <w:r w:rsidRPr="009F78CE">
        <w:t xml:space="preserve"> Quy hoạch thoát nước </w:t>
      </w:r>
    </w:p>
    <w:p w14:paraId="1A43C1B4" w14:textId="77777777" w:rsidR="00195F7F" w:rsidRPr="009F78CE" w:rsidRDefault="00195F7F" w:rsidP="006021A9">
      <w:pPr>
        <w:tabs>
          <w:tab w:val="right" w:leader="dot" w:pos="8472"/>
        </w:tabs>
        <w:spacing w:before="60" w:after="60" w:line="360" w:lineRule="exact"/>
        <w:ind w:firstLine="720"/>
        <w:jc w:val="both"/>
      </w:pPr>
      <w:r w:rsidRPr="009F78CE">
        <w:t xml:space="preserve">1. </w:t>
      </w:r>
      <w:r w:rsidR="00356377" w:rsidRPr="009F78CE">
        <w:t>Nội dung q</w:t>
      </w:r>
      <w:r w:rsidRPr="009F78CE">
        <w:t xml:space="preserve">uy hoạch thoát nước </w:t>
      </w:r>
      <w:r w:rsidR="00356377" w:rsidRPr="009F78CE">
        <w:t>được xác định trong quy hoạch vùng, quy hoạch tỉnh, quy hoạch xây dựng và quy hoạch đô thị</w:t>
      </w:r>
      <w:r w:rsidR="00255E75" w:rsidRPr="009F78CE">
        <w:t>.</w:t>
      </w:r>
      <w:r w:rsidRPr="009F78CE">
        <w:t xml:space="preserve"> </w:t>
      </w:r>
      <w:r w:rsidR="00356377" w:rsidRPr="009F78CE">
        <w:t xml:space="preserve">Nội dung quy hoạch thoát nước </w:t>
      </w:r>
      <w:r w:rsidR="004B3088" w:rsidRPr="009F78CE">
        <w:t xml:space="preserve">đô thị </w:t>
      </w:r>
      <w:r w:rsidR="00356377" w:rsidRPr="009F78CE">
        <w:t xml:space="preserve">được lập </w:t>
      </w:r>
      <w:r w:rsidR="00083C77" w:rsidRPr="009F78CE">
        <w:t xml:space="preserve">thành đồ án </w:t>
      </w:r>
      <w:r w:rsidR="00356377" w:rsidRPr="009F78CE">
        <w:t>riêng đ</w:t>
      </w:r>
      <w:r w:rsidRPr="009F78CE">
        <w:t>ối với các thành phố trực thuộc Trung ương</w:t>
      </w:r>
      <w:r w:rsidR="00356377" w:rsidRPr="009F78CE">
        <w:t xml:space="preserve"> </w:t>
      </w:r>
      <w:r w:rsidRPr="009F78CE">
        <w:t xml:space="preserve">nhằm cụ thể hóa quy hoạch thoát nước trong quy hoạch </w:t>
      </w:r>
      <w:proofErr w:type="gramStart"/>
      <w:r w:rsidRPr="009F78CE">
        <w:t>chung</w:t>
      </w:r>
      <w:proofErr w:type="gramEnd"/>
      <w:r w:rsidRPr="009F78CE">
        <w:t xml:space="preserve"> đô thị đã được cấp có thẩm quyền phê duyệt. Nhiệm vụ quy hoạch thoát nước </w:t>
      </w:r>
      <w:r w:rsidR="004B3088" w:rsidRPr="009F78CE">
        <w:t xml:space="preserve">đô thị </w:t>
      </w:r>
      <w:r w:rsidRPr="009F78CE">
        <w:t>phải làm rõ các nội dung: Phạm vi, ranh giới; các chỉ tiêu kinh tế - kỹ thuật, quy chuẩn kỹ thuật áp dụng; xác định lưu vực, phân vùng thoát nước; nguồn tiếp nhận, dự báo tổng lượng thoát nước, mạng lưới và vị trí quy mô các công trình thoát nước.</w:t>
      </w:r>
    </w:p>
    <w:p w14:paraId="346AE631" w14:textId="77777777" w:rsidR="00083C77" w:rsidRPr="009F78CE" w:rsidRDefault="00195F7F" w:rsidP="006021A9">
      <w:pPr>
        <w:tabs>
          <w:tab w:val="right" w:leader="dot" w:pos="8472"/>
        </w:tabs>
        <w:spacing w:before="60" w:after="60" w:line="360" w:lineRule="exact"/>
        <w:ind w:firstLine="720"/>
        <w:jc w:val="both"/>
      </w:pPr>
      <w:r w:rsidRPr="009F78CE">
        <w:t xml:space="preserve">2. </w:t>
      </w:r>
      <w:r w:rsidR="004B3088" w:rsidRPr="009F78CE">
        <w:t>Nội dung quy hoạch thoát nước khu dân cư nông thôn tập trung được xác định trong quy hoạch xây dựng nông thôn. Các nội dung cơ bản của quy hoạch thoát nước khu dân cư nông thôn tập trung bao gồm: Dự báo tổng lượng nước mưa, nước thải; xác định mạng lưới thoát nước; xác định vị trí, quy mô trạm bơm, trạm xử lý nước thải, các dự án ưu tiên và phân kỳ đầu tư theo từng giai đoạn quy hoạch.</w:t>
      </w:r>
    </w:p>
    <w:p w14:paraId="040DAA70" w14:textId="79026381" w:rsidR="00195F7F" w:rsidRPr="009F78CE" w:rsidRDefault="00083C77" w:rsidP="006021A9">
      <w:pPr>
        <w:tabs>
          <w:tab w:val="right" w:leader="dot" w:pos="8472"/>
        </w:tabs>
        <w:spacing w:before="60" w:after="60" w:line="360" w:lineRule="exact"/>
        <w:ind w:firstLine="720"/>
        <w:jc w:val="both"/>
      </w:pPr>
      <w:r w:rsidRPr="009F78CE">
        <w:lastRenderedPageBreak/>
        <w:t>3. Việc lập, thẩm định và phê duyệt nhiệm vụ, quy hoạch thoát nước tuân thủ các quy định của Luật Quy hoạch đô thị, Luật Xây dựng và các quy định khác có liên quan</w:t>
      </w:r>
      <w:r w:rsidR="00195F7F" w:rsidRPr="009F78CE">
        <w:t>”</w:t>
      </w:r>
      <w:r w:rsidR="007B1351" w:rsidRPr="009F78CE">
        <w:t>.</w:t>
      </w:r>
    </w:p>
    <w:p w14:paraId="62ECDC44" w14:textId="1BD641EE" w:rsidR="00FB0823" w:rsidRPr="00651E89" w:rsidRDefault="00FB0823" w:rsidP="00FB0823">
      <w:pPr>
        <w:spacing w:before="180"/>
        <w:ind w:firstLine="709"/>
        <w:jc w:val="both"/>
        <w:outlineLvl w:val="0"/>
        <w:rPr>
          <w:bCs/>
          <w:lang w:val="nb-NO"/>
        </w:rPr>
      </w:pPr>
      <w:r w:rsidRPr="00651E89">
        <w:rPr>
          <w:b/>
          <w:spacing w:val="-6"/>
        </w:rPr>
        <w:t xml:space="preserve">Điều </w:t>
      </w:r>
      <w:r w:rsidR="00671183" w:rsidRPr="00651E89">
        <w:rPr>
          <w:b/>
          <w:spacing w:val="-6"/>
        </w:rPr>
        <w:t>4</w:t>
      </w:r>
      <w:r w:rsidRPr="00651E89">
        <w:rPr>
          <w:b/>
          <w:spacing w:val="-6"/>
        </w:rPr>
        <w:t>:</w:t>
      </w:r>
      <w:r w:rsidRPr="00651E89">
        <w:rPr>
          <w:bCs/>
          <w:lang w:val="nb-NO"/>
        </w:rPr>
        <w:t xml:space="preserve"> Bãi bỏ các quy định sau đây:</w:t>
      </w:r>
    </w:p>
    <w:p w14:paraId="7A5DE3A0" w14:textId="1CE964DA" w:rsidR="00D93F65" w:rsidRDefault="00D93F65" w:rsidP="00D93F65">
      <w:pPr>
        <w:tabs>
          <w:tab w:val="right" w:leader="dot" w:pos="8472"/>
        </w:tabs>
        <w:spacing w:before="60" w:after="60" w:line="360" w:lineRule="exact"/>
        <w:ind w:firstLine="720"/>
        <w:jc w:val="both"/>
      </w:pPr>
      <w:r>
        <w:t>1</w:t>
      </w:r>
      <w:r w:rsidRPr="009F78CE">
        <w:t xml:space="preserve">. Bãi bỏ Khoản 2, Khoản 3 Điều 1 </w:t>
      </w:r>
      <w:r w:rsidRPr="00EA3FD7">
        <w:t>Nghị định số 124/2011/NĐ-CP ngày 28/12/2011 của Chính phủ về sửa đổi, bổ sung một số điều Nghị định số 117/2007/NĐ-CP.</w:t>
      </w:r>
    </w:p>
    <w:p w14:paraId="3226B100" w14:textId="520FDD80" w:rsidR="00DC41C3" w:rsidRPr="00DC41C3" w:rsidRDefault="00DC41C3" w:rsidP="00DC41C3">
      <w:pPr>
        <w:tabs>
          <w:tab w:val="right" w:leader="dot" w:pos="8472"/>
        </w:tabs>
        <w:spacing w:before="60" w:after="60" w:line="360" w:lineRule="exact"/>
        <w:ind w:firstLine="720"/>
        <w:jc w:val="both"/>
      </w:pPr>
      <w:r w:rsidRPr="00DC41C3">
        <w:t xml:space="preserve">2. </w:t>
      </w:r>
      <w:bookmarkStart w:id="2" w:name="_Hlk11739048"/>
      <w:r w:rsidRPr="009F78CE">
        <w:t>Bãi bỏ Điều 7, Điều 8, Điều 10, Điều 11, Khoản 4 Điều 16, điểm b Khoản 2 Điều 17, Khoản 3 Điều 18</w:t>
      </w:r>
      <w:bookmarkEnd w:id="2"/>
      <w:r>
        <w:t xml:space="preserve"> của </w:t>
      </w:r>
      <w:r w:rsidRPr="00DC41C3">
        <w:t>Nghị định số 59/2007/NĐ-CP ngày 09/4/2007 của Chính phủ về quản lý chất thải rắ</w:t>
      </w:r>
      <w:r>
        <w:t>n</w:t>
      </w:r>
      <w:r w:rsidRPr="009F78CE">
        <w:t>.</w:t>
      </w:r>
    </w:p>
    <w:p w14:paraId="33CAF80B" w14:textId="7CD50413" w:rsidR="00FB0823" w:rsidRPr="00651E89" w:rsidRDefault="00FB0823" w:rsidP="00FB0823">
      <w:pPr>
        <w:spacing w:before="180"/>
        <w:ind w:firstLine="709"/>
        <w:jc w:val="both"/>
        <w:outlineLvl w:val="0"/>
        <w:rPr>
          <w:spacing w:val="-6"/>
        </w:rPr>
      </w:pPr>
      <w:r w:rsidRPr="00651E89">
        <w:rPr>
          <w:b/>
          <w:spacing w:val="-6"/>
        </w:rPr>
        <w:t xml:space="preserve">Điều </w:t>
      </w:r>
      <w:r w:rsidR="00671183" w:rsidRPr="00651E89">
        <w:rPr>
          <w:b/>
          <w:spacing w:val="-6"/>
        </w:rPr>
        <w:t>5</w:t>
      </w:r>
      <w:r w:rsidRPr="00651E89">
        <w:rPr>
          <w:b/>
          <w:spacing w:val="-6"/>
        </w:rPr>
        <w:t>:</w:t>
      </w:r>
      <w:r w:rsidRPr="00651E89">
        <w:rPr>
          <w:spacing w:val="-6"/>
        </w:rPr>
        <w:t xml:space="preserve"> Xử lý chuyển tiếp.</w:t>
      </w:r>
    </w:p>
    <w:p w14:paraId="1E6A04D4" w14:textId="0E004DC4" w:rsidR="00FB0823" w:rsidRPr="00C27927" w:rsidRDefault="00FB0823" w:rsidP="00FB0823">
      <w:pPr>
        <w:spacing w:before="180"/>
        <w:ind w:firstLine="709"/>
        <w:jc w:val="both"/>
        <w:outlineLvl w:val="0"/>
        <w:rPr>
          <w:spacing w:val="-6"/>
        </w:rPr>
      </w:pPr>
      <w:r w:rsidRPr="00651E89">
        <w:rPr>
          <w:b/>
          <w:spacing w:val="-6"/>
        </w:rPr>
        <w:t xml:space="preserve">Điều </w:t>
      </w:r>
      <w:r w:rsidR="00671183" w:rsidRPr="00651E89">
        <w:rPr>
          <w:b/>
          <w:spacing w:val="-6"/>
        </w:rPr>
        <w:t>6</w:t>
      </w:r>
      <w:r w:rsidRPr="00651E89">
        <w:rPr>
          <w:b/>
          <w:spacing w:val="-6"/>
        </w:rPr>
        <w:t>:</w:t>
      </w:r>
      <w:r w:rsidRPr="00651E89">
        <w:rPr>
          <w:spacing w:val="-6"/>
        </w:rPr>
        <w:t xml:space="preserve"> Hiệu lực thi hành.</w:t>
      </w:r>
    </w:p>
    <w:p w14:paraId="26F9706C" w14:textId="77777777" w:rsidR="00466C56" w:rsidRDefault="00466C56" w:rsidP="009F1CD9">
      <w:pPr>
        <w:spacing w:before="60" w:after="60" w:line="276" w:lineRule="auto"/>
        <w:ind w:firstLine="720"/>
        <w:jc w:val="both"/>
      </w:pPr>
      <w:r w:rsidRPr="00466C56">
        <w:t>1. Nghị định này có hiệu lực kể từ ngày ………….………………………</w:t>
      </w:r>
    </w:p>
    <w:p w14:paraId="3B00380E" w14:textId="45BE5675" w:rsidR="00FB0823" w:rsidRDefault="00FB0823" w:rsidP="00667723">
      <w:pPr>
        <w:spacing w:before="180"/>
        <w:ind w:firstLine="709"/>
        <w:jc w:val="both"/>
        <w:outlineLvl w:val="0"/>
      </w:pPr>
      <w:proofErr w:type="gramStart"/>
      <w:r>
        <w:rPr>
          <w:b/>
          <w:bCs/>
        </w:rPr>
        <w:t xml:space="preserve">Điều </w:t>
      </w:r>
      <w:r w:rsidR="00671183">
        <w:rPr>
          <w:b/>
          <w:bCs/>
        </w:rPr>
        <w:t>7</w:t>
      </w:r>
      <w:r>
        <w:rPr>
          <w:b/>
          <w:bCs/>
        </w:rPr>
        <w:t>.</w:t>
      </w:r>
      <w:proofErr w:type="gramEnd"/>
      <w:r>
        <w:rPr>
          <w:b/>
          <w:bCs/>
        </w:rPr>
        <w:t xml:space="preserve"> Tổ chức thực hiện</w:t>
      </w:r>
    </w:p>
    <w:p w14:paraId="12734EF9" w14:textId="77777777" w:rsidR="00FB0823" w:rsidRDefault="00FB0823" w:rsidP="00667723">
      <w:pPr>
        <w:spacing w:before="60" w:after="60" w:line="276" w:lineRule="auto"/>
        <w:ind w:firstLine="720"/>
        <w:jc w:val="both"/>
      </w:pPr>
      <w:r>
        <w:t>1. Các Bộ trưởng, Thủ trưởng cơ quan ngang bộ, Thủ trưởng cơ quan thuộc Chính phủ, Chủ tịch Ủy ban nhân dân các tỉnh, thành phố trực thuộc trung ương, Thủ trưởng tổ chức chính trị, tổ chức chính trị - xã hội, tổ chức xã hội - nghề nghiệp và các tổ chức, cá nhân có liên quan chịu trách nhiệm thi hành Nghị định này.</w:t>
      </w:r>
    </w:p>
    <w:p w14:paraId="6CA970C9" w14:textId="1F423661" w:rsidR="00FB0823" w:rsidRDefault="00FB0823" w:rsidP="00667723">
      <w:pPr>
        <w:spacing w:before="60" w:after="60" w:line="276" w:lineRule="auto"/>
        <w:ind w:firstLine="720"/>
        <w:jc w:val="both"/>
      </w:pPr>
      <w:r>
        <w:t>2. Bộ Xây dựng chủ trì, phối hợp với các bộ, ngành liên quan chịu trách nhiệm hướng dẫn và tổ chức thực hiện Nghị định này</w:t>
      </w:r>
      <w:proofErr w:type="gramStart"/>
      <w:r>
        <w:t>./</w:t>
      </w:r>
      <w:proofErr w:type="gramEnd"/>
      <w:r w:rsidR="006B60F0">
        <w:t>.</w:t>
      </w:r>
    </w:p>
    <w:p w14:paraId="1341B92F" w14:textId="77777777" w:rsidR="00466C56" w:rsidRPr="00466C56" w:rsidRDefault="00466C56" w:rsidP="00466C56">
      <w:pPr>
        <w:tabs>
          <w:tab w:val="right" w:leader="dot" w:pos="8472"/>
        </w:tabs>
        <w:spacing w:before="120"/>
      </w:pPr>
    </w:p>
    <w:tbl>
      <w:tblPr>
        <w:tblW w:w="0" w:type="auto"/>
        <w:tblLook w:val="01E0" w:firstRow="1" w:lastRow="1" w:firstColumn="1" w:lastColumn="1" w:noHBand="0" w:noVBand="0"/>
      </w:tblPr>
      <w:tblGrid>
        <w:gridCol w:w="4909"/>
        <w:gridCol w:w="4379"/>
      </w:tblGrid>
      <w:tr w:rsidR="00466C56" w:rsidRPr="00466C56" w14:paraId="2369755C" w14:textId="77777777" w:rsidTr="00C6228E">
        <w:tc>
          <w:tcPr>
            <w:tcW w:w="4928" w:type="dxa"/>
          </w:tcPr>
          <w:p w14:paraId="5B69FD70" w14:textId="77777777" w:rsidR="00466C56" w:rsidRPr="00466C56" w:rsidRDefault="00466C56" w:rsidP="00CE0957">
            <w:pPr>
              <w:tabs>
                <w:tab w:val="left" w:pos="1152"/>
                <w:tab w:val="right" w:leader="dot" w:pos="8472"/>
              </w:tabs>
              <w:spacing w:line="240" w:lineRule="atLeast"/>
              <w:rPr>
                <w:b/>
                <w:i/>
                <w:sz w:val="24"/>
                <w:szCs w:val="24"/>
              </w:rPr>
            </w:pPr>
            <w:r w:rsidRPr="00466C56">
              <w:rPr>
                <w:b/>
                <w:i/>
                <w:sz w:val="24"/>
                <w:szCs w:val="24"/>
              </w:rPr>
              <w:t>Nơi nhận:</w:t>
            </w:r>
          </w:p>
          <w:p w14:paraId="7215801E" w14:textId="0311BDF2" w:rsidR="00466C56" w:rsidRPr="00466C56" w:rsidRDefault="00FB0823" w:rsidP="00CE0957">
            <w:pPr>
              <w:tabs>
                <w:tab w:val="left" w:pos="1152"/>
                <w:tab w:val="right" w:leader="dot" w:pos="8472"/>
              </w:tabs>
              <w:spacing w:line="240" w:lineRule="atLeast"/>
              <w:rPr>
                <w:b/>
                <w:sz w:val="24"/>
                <w:szCs w:val="24"/>
              </w:rPr>
            </w:pPr>
            <w:r>
              <w:rPr>
                <w:sz w:val="16"/>
              </w:rPr>
              <w:t>- Ban Bí thư Trung ương Đảng;</w:t>
            </w:r>
            <w:r>
              <w:rPr>
                <w:sz w:val="16"/>
              </w:rPr>
              <w:br/>
              <w:t>- Thủ tướng, các Phó Thủ tướng Chính phủ;</w:t>
            </w:r>
            <w:r>
              <w:rPr>
                <w:sz w:val="16"/>
              </w:rPr>
              <w:br/>
              <w:t>- Các bộ, cơ quan ngang bộ, cơ quan thuộc Chính phủ;</w:t>
            </w:r>
            <w:r>
              <w:rPr>
                <w:sz w:val="16"/>
              </w:rPr>
              <w:br/>
              <w:t>- HĐND, UBND các tỉnh, thành phố trực thuộc trung ương;</w:t>
            </w:r>
            <w:r>
              <w:rPr>
                <w:sz w:val="16"/>
              </w:rPr>
              <w:br/>
              <w:t>- Văn phòng Trung ương và các Ban của Đảng;</w:t>
            </w:r>
            <w:r>
              <w:rPr>
                <w:sz w:val="16"/>
              </w:rPr>
              <w:br/>
              <w:t>- Văn phòng Tổng Bí thư;</w:t>
            </w:r>
            <w:r>
              <w:rPr>
                <w:sz w:val="16"/>
              </w:rPr>
              <w:br/>
              <w:t>- Văn phòng Chủ tịch nước;</w:t>
            </w:r>
            <w:r>
              <w:rPr>
                <w:sz w:val="16"/>
              </w:rPr>
              <w:br/>
              <w:t>- Hội đồng dân tộc và các Ủy ban của Quốc hội;</w:t>
            </w:r>
            <w:r>
              <w:rPr>
                <w:sz w:val="16"/>
              </w:rPr>
              <w:br/>
              <w:t>- Văn phòng Quốc hội;</w:t>
            </w:r>
            <w:r>
              <w:rPr>
                <w:sz w:val="16"/>
              </w:rPr>
              <w:br/>
              <w:t>- Tòa án nhân dân tối cao;</w:t>
            </w:r>
            <w:r>
              <w:rPr>
                <w:sz w:val="16"/>
              </w:rPr>
              <w:br/>
              <w:t>- Viện kiểm sát nhân dân tối cao;</w:t>
            </w:r>
            <w:r>
              <w:rPr>
                <w:sz w:val="16"/>
              </w:rPr>
              <w:br/>
              <w:t>- Kiểm toán nhà nước;</w:t>
            </w:r>
            <w:r>
              <w:rPr>
                <w:sz w:val="16"/>
              </w:rPr>
              <w:br/>
              <w:t>- Ủy ban Giám sát tài chính Quốc gia;</w:t>
            </w:r>
            <w:r>
              <w:rPr>
                <w:sz w:val="16"/>
              </w:rPr>
              <w:br/>
              <w:t>- Ngân hàng Chính sách xã hội;</w:t>
            </w:r>
            <w:r>
              <w:rPr>
                <w:sz w:val="16"/>
              </w:rPr>
              <w:br/>
              <w:t>- Ngân hàng Phát triển Việt Nam;</w:t>
            </w:r>
            <w:r>
              <w:rPr>
                <w:sz w:val="16"/>
              </w:rPr>
              <w:br/>
              <w:t>- Ủy ban trung ương Mặt trận Tổ quốc Việt Nam;</w:t>
            </w:r>
            <w:r>
              <w:rPr>
                <w:sz w:val="16"/>
              </w:rPr>
              <w:br/>
              <w:t>- Cơ quan trung ương của các đoàn thể;</w:t>
            </w:r>
            <w:r>
              <w:rPr>
                <w:sz w:val="16"/>
              </w:rPr>
              <w:br/>
              <w:t xml:space="preserve">- VPCP: BTCN, các PCN, Trợ lý TTg, TGĐ Cổng TTĐT </w:t>
            </w:r>
            <w:r>
              <w:rPr>
                <w:sz w:val="16"/>
              </w:rPr>
              <w:br/>
              <w:t>các Vụ, Cục, đơn vị trực thuộc, Công báo;</w:t>
            </w:r>
            <w:r>
              <w:rPr>
                <w:sz w:val="16"/>
              </w:rPr>
              <w:br/>
              <w:t>- Lưu: VT, CN(2b).PC</w:t>
            </w:r>
          </w:p>
        </w:tc>
        <w:tc>
          <w:tcPr>
            <w:tcW w:w="4394" w:type="dxa"/>
          </w:tcPr>
          <w:p w14:paraId="3DE0EC85" w14:textId="77777777" w:rsidR="00466C56" w:rsidRDefault="00466C56" w:rsidP="00CE0957">
            <w:pPr>
              <w:tabs>
                <w:tab w:val="left" w:pos="1152"/>
                <w:tab w:val="right" w:leader="dot" w:pos="8472"/>
              </w:tabs>
              <w:jc w:val="center"/>
              <w:rPr>
                <w:i/>
              </w:rPr>
            </w:pPr>
            <w:r w:rsidRPr="00466C56">
              <w:rPr>
                <w:b/>
              </w:rPr>
              <w:t>TM. CHÍNH PHỦ</w:t>
            </w:r>
            <w:r w:rsidRPr="00466C56">
              <w:rPr>
                <w:b/>
              </w:rPr>
              <w:br/>
              <w:t>THỦ TƯỚNG</w:t>
            </w:r>
            <w:r w:rsidRPr="00466C56">
              <w:rPr>
                <w:b/>
              </w:rPr>
              <w:br/>
            </w:r>
          </w:p>
          <w:p w14:paraId="78DE7A43" w14:textId="77777777" w:rsidR="00C6228E" w:rsidRPr="00466C56" w:rsidRDefault="00C6228E" w:rsidP="00CE0957">
            <w:pPr>
              <w:tabs>
                <w:tab w:val="left" w:pos="1152"/>
                <w:tab w:val="right" w:leader="dot" w:pos="8472"/>
              </w:tabs>
              <w:jc w:val="center"/>
              <w:rPr>
                <w:i/>
              </w:rPr>
            </w:pPr>
          </w:p>
          <w:p w14:paraId="0A055547" w14:textId="77777777" w:rsidR="00466C56" w:rsidRPr="00466C56" w:rsidRDefault="00466C56" w:rsidP="00CE0957">
            <w:pPr>
              <w:tabs>
                <w:tab w:val="left" w:pos="1152"/>
                <w:tab w:val="right" w:leader="dot" w:pos="8472"/>
              </w:tabs>
              <w:jc w:val="center"/>
              <w:rPr>
                <w:i/>
              </w:rPr>
            </w:pPr>
          </w:p>
          <w:p w14:paraId="09A53EDE" w14:textId="77777777" w:rsidR="00466C56" w:rsidRPr="00466C56" w:rsidRDefault="003515B7" w:rsidP="00CE0957">
            <w:pPr>
              <w:tabs>
                <w:tab w:val="left" w:pos="1152"/>
                <w:tab w:val="right" w:leader="dot" w:pos="8472"/>
              </w:tabs>
              <w:spacing w:before="120" w:line="312" w:lineRule="auto"/>
              <w:jc w:val="center"/>
              <w:rPr>
                <w:i/>
              </w:rPr>
            </w:pPr>
            <w:r>
              <w:rPr>
                <w:b/>
              </w:rPr>
              <w:t>Nguyễn Xuân Phúc</w:t>
            </w:r>
          </w:p>
        </w:tc>
      </w:tr>
    </w:tbl>
    <w:p w14:paraId="1FC8126E" w14:textId="77777777" w:rsidR="002A2278" w:rsidRDefault="002A2278"/>
    <w:sectPr w:rsidR="002A2278" w:rsidSect="00651E89">
      <w:footerReference w:type="default" r:id="rId8"/>
      <w:pgSz w:w="11907" w:h="16839"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30CD5D" w14:textId="77777777" w:rsidR="006C32F4" w:rsidRDefault="006C32F4" w:rsidP="006C6712">
      <w:r>
        <w:separator/>
      </w:r>
    </w:p>
  </w:endnote>
  <w:endnote w:type="continuationSeparator" w:id="0">
    <w:p w14:paraId="4EA9FFE7" w14:textId="77777777" w:rsidR="006C32F4" w:rsidRDefault="006C32F4" w:rsidP="006C6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9238980"/>
      <w:docPartObj>
        <w:docPartGallery w:val="Page Numbers (Bottom of Page)"/>
        <w:docPartUnique/>
      </w:docPartObj>
    </w:sdtPr>
    <w:sdtEndPr>
      <w:rPr>
        <w:noProof/>
      </w:rPr>
    </w:sdtEndPr>
    <w:sdtContent>
      <w:p w14:paraId="6B844934" w14:textId="77777777" w:rsidR="006C6712" w:rsidRDefault="006C6712" w:rsidP="006C6712">
        <w:pPr>
          <w:pStyle w:val="Footer"/>
          <w:jc w:val="center"/>
          <w:rPr>
            <w:noProof/>
            <w:sz w:val="24"/>
            <w:szCs w:val="24"/>
          </w:rPr>
        </w:pPr>
        <w:r w:rsidRPr="006C6712">
          <w:rPr>
            <w:sz w:val="24"/>
            <w:szCs w:val="24"/>
          </w:rPr>
          <w:fldChar w:fldCharType="begin"/>
        </w:r>
        <w:r w:rsidRPr="006C6712">
          <w:rPr>
            <w:sz w:val="24"/>
            <w:szCs w:val="24"/>
          </w:rPr>
          <w:instrText xml:space="preserve"> PAGE   \* MERGEFORMAT </w:instrText>
        </w:r>
        <w:r w:rsidRPr="006C6712">
          <w:rPr>
            <w:sz w:val="24"/>
            <w:szCs w:val="24"/>
          </w:rPr>
          <w:fldChar w:fldCharType="separate"/>
        </w:r>
        <w:r w:rsidR="009017BC">
          <w:rPr>
            <w:noProof/>
            <w:sz w:val="24"/>
            <w:szCs w:val="24"/>
          </w:rPr>
          <w:t>1</w:t>
        </w:r>
        <w:r w:rsidRPr="006C6712">
          <w:rPr>
            <w:noProof/>
            <w:sz w:val="24"/>
            <w:szCs w:val="24"/>
          </w:rPr>
          <w:fldChar w:fldCharType="end"/>
        </w:r>
      </w:p>
      <w:p w14:paraId="4CF94E98" w14:textId="77777777" w:rsidR="006C6712" w:rsidRDefault="006C32F4" w:rsidP="006C6712">
        <w:pPr>
          <w:pStyle w:val="Footer"/>
          <w:jc w:val="right"/>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0E3067" w14:textId="77777777" w:rsidR="006C32F4" w:rsidRDefault="006C32F4" w:rsidP="006C6712">
      <w:r>
        <w:separator/>
      </w:r>
    </w:p>
  </w:footnote>
  <w:footnote w:type="continuationSeparator" w:id="0">
    <w:p w14:paraId="23F745FF" w14:textId="77777777" w:rsidR="006C32F4" w:rsidRDefault="006C32F4" w:rsidP="006C67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B1FA6"/>
    <w:multiLevelType w:val="hybridMultilevel"/>
    <w:tmpl w:val="7318FBA4"/>
    <w:lvl w:ilvl="0" w:tplc="12B2A3DA">
      <w:start w:val="1"/>
      <w:numFmt w:val="decimal"/>
      <w:lvlText w:val="%1."/>
      <w:lvlJc w:val="left"/>
      <w:pPr>
        <w:ind w:left="927" w:hanging="360"/>
      </w:pPr>
      <w:rPr>
        <w:rFonts w:hint="default"/>
        <w:b w:val="0"/>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66425098"/>
    <w:multiLevelType w:val="hybridMultilevel"/>
    <w:tmpl w:val="079C31B0"/>
    <w:lvl w:ilvl="0" w:tplc="8806CC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A127DAE"/>
    <w:multiLevelType w:val="hybridMultilevel"/>
    <w:tmpl w:val="C5364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8FA"/>
    <w:rsid w:val="00036E7E"/>
    <w:rsid w:val="000641B8"/>
    <w:rsid w:val="00083C77"/>
    <w:rsid w:val="000C2FDF"/>
    <w:rsid w:val="000D3B59"/>
    <w:rsid w:val="00195F7F"/>
    <w:rsid w:val="001B48FA"/>
    <w:rsid w:val="00235F85"/>
    <w:rsid w:val="002361FF"/>
    <w:rsid w:val="00255E75"/>
    <w:rsid w:val="00260E14"/>
    <w:rsid w:val="002A2278"/>
    <w:rsid w:val="002B1146"/>
    <w:rsid w:val="002F223E"/>
    <w:rsid w:val="00311063"/>
    <w:rsid w:val="00326B5D"/>
    <w:rsid w:val="00334A56"/>
    <w:rsid w:val="00335B82"/>
    <w:rsid w:val="003515B7"/>
    <w:rsid w:val="00356377"/>
    <w:rsid w:val="003C6ACB"/>
    <w:rsid w:val="003E0A35"/>
    <w:rsid w:val="003F4D24"/>
    <w:rsid w:val="003F6C1C"/>
    <w:rsid w:val="00406DA9"/>
    <w:rsid w:val="00425C39"/>
    <w:rsid w:val="00431F1D"/>
    <w:rsid w:val="00441BF5"/>
    <w:rsid w:val="00462E63"/>
    <w:rsid w:val="00466C56"/>
    <w:rsid w:val="004B3088"/>
    <w:rsid w:val="004D60FB"/>
    <w:rsid w:val="004F1A66"/>
    <w:rsid w:val="0053339E"/>
    <w:rsid w:val="005453BD"/>
    <w:rsid w:val="00572959"/>
    <w:rsid w:val="00575D7D"/>
    <w:rsid w:val="00583D7C"/>
    <w:rsid w:val="00585909"/>
    <w:rsid w:val="00593B70"/>
    <w:rsid w:val="005B2234"/>
    <w:rsid w:val="005E22DB"/>
    <w:rsid w:val="005E24A9"/>
    <w:rsid w:val="006021A9"/>
    <w:rsid w:val="00603807"/>
    <w:rsid w:val="006237D2"/>
    <w:rsid w:val="00651E89"/>
    <w:rsid w:val="00667723"/>
    <w:rsid w:val="00671183"/>
    <w:rsid w:val="006914A5"/>
    <w:rsid w:val="006A350F"/>
    <w:rsid w:val="006B3ECE"/>
    <w:rsid w:val="006B60F0"/>
    <w:rsid w:val="006C32F4"/>
    <w:rsid w:val="006C6712"/>
    <w:rsid w:val="00732246"/>
    <w:rsid w:val="00747436"/>
    <w:rsid w:val="00752837"/>
    <w:rsid w:val="00780FD4"/>
    <w:rsid w:val="007B1351"/>
    <w:rsid w:val="007C513A"/>
    <w:rsid w:val="008152E1"/>
    <w:rsid w:val="00823031"/>
    <w:rsid w:val="00865AAA"/>
    <w:rsid w:val="0087092D"/>
    <w:rsid w:val="00896992"/>
    <w:rsid w:val="008F4763"/>
    <w:rsid w:val="008F6E8C"/>
    <w:rsid w:val="009003B6"/>
    <w:rsid w:val="009017BC"/>
    <w:rsid w:val="0093399D"/>
    <w:rsid w:val="00966242"/>
    <w:rsid w:val="009A28F7"/>
    <w:rsid w:val="009A434D"/>
    <w:rsid w:val="009C6D0D"/>
    <w:rsid w:val="009E2DFB"/>
    <w:rsid w:val="009F1CD9"/>
    <w:rsid w:val="009F78CE"/>
    <w:rsid w:val="009F7A24"/>
    <w:rsid w:val="00A00DDC"/>
    <w:rsid w:val="00A07F84"/>
    <w:rsid w:val="00A931F4"/>
    <w:rsid w:val="00AB2D32"/>
    <w:rsid w:val="00AB5441"/>
    <w:rsid w:val="00AE5C23"/>
    <w:rsid w:val="00B84C38"/>
    <w:rsid w:val="00B97F1D"/>
    <w:rsid w:val="00C011F0"/>
    <w:rsid w:val="00C6228E"/>
    <w:rsid w:val="00C83E86"/>
    <w:rsid w:val="00C8423B"/>
    <w:rsid w:val="00CC5D73"/>
    <w:rsid w:val="00CF3B75"/>
    <w:rsid w:val="00D24C1A"/>
    <w:rsid w:val="00D41F25"/>
    <w:rsid w:val="00D54F4D"/>
    <w:rsid w:val="00D93F65"/>
    <w:rsid w:val="00DA4364"/>
    <w:rsid w:val="00DA47C5"/>
    <w:rsid w:val="00DC41C3"/>
    <w:rsid w:val="00DC7191"/>
    <w:rsid w:val="00E02FF3"/>
    <w:rsid w:val="00E2601E"/>
    <w:rsid w:val="00E712F5"/>
    <w:rsid w:val="00E87A20"/>
    <w:rsid w:val="00E961B6"/>
    <w:rsid w:val="00EA3FD7"/>
    <w:rsid w:val="00F76C7B"/>
    <w:rsid w:val="00F76F31"/>
    <w:rsid w:val="00FB0823"/>
    <w:rsid w:val="00FB2E14"/>
    <w:rsid w:val="00FE4689"/>
    <w:rsid w:val="00FF46BC"/>
    <w:rsid w:val="00FF70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91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C56"/>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6C7B"/>
    <w:rPr>
      <w:rFonts w:ascii="Tahoma" w:hAnsi="Tahoma" w:cs="Tahoma"/>
      <w:sz w:val="16"/>
      <w:szCs w:val="16"/>
    </w:rPr>
  </w:style>
  <w:style w:type="character" w:customStyle="1" w:styleId="BalloonTextChar">
    <w:name w:val="Balloon Text Char"/>
    <w:basedOn w:val="DefaultParagraphFont"/>
    <w:link w:val="BalloonText"/>
    <w:uiPriority w:val="99"/>
    <w:semiHidden/>
    <w:rsid w:val="00F76C7B"/>
    <w:rPr>
      <w:rFonts w:ascii="Tahoma" w:eastAsia="Times New Roman" w:hAnsi="Tahoma" w:cs="Tahoma"/>
      <w:sz w:val="16"/>
      <w:szCs w:val="16"/>
    </w:rPr>
  </w:style>
  <w:style w:type="paragraph" w:styleId="ListParagraph">
    <w:name w:val="List Paragraph"/>
    <w:basedOn w:val="Normal"/>
    <w:uiPriority w:val="34"/>
    <w:qFormat/>
    <w:rsid w:val="00C011F0"/>
    <w:pPr>
      <w:ind w:left="720"/>
      <w:contextualSpacing/>
    </w:pPr>
  </w:style>
  <w:style w:type="table" w:styleId="TableGrid">
    <w:name w:val="Table Grid"/>
    <w:basedOn w:val="TableNormal"/>
    <w:uiPriority w:val="59"/>
    <w:rsid w:val="00036E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95F7F"/>
    <w:pPr>
      <w:spacing w:before="100" w:beforeAutospacing="1" w:after="100" w:afterAutospacing="1"/>
    </w:pPr>
    <w:rPr>
      <w:sz w:val="24"/>
      <w:szCs w:val="24"/>
    </w:rPr>
  </w:style>
  <w:style w:type="paragraph" w:styleId="Header">
    <w:name w:val="header"/>
    <w:basedOn w:val="Normal"/>
    <w:link w:val="HeaderChar"/>
    <w:uiPriority w:val="99"/>
    <w:unhideWhenUsed/>
    <w:rsid w:val="006C6712"/>
    <w:pPr>
      <w:tabs>
        <w:tab w:val="center" w:pos="4680"/>
        <w:tab w:val="right" w:pos="9360"/>
      </w:tabs>
    </w:pPr>
  </w:style>
  <w:style w:type="character" w:customStyle="1" w:styleId="HeaderChar">
    <w:name w:val="Header Char"/>
    <w:basedOn w:val="DefaultParagraphFont"/>
    <w:link w:val="Header"/>
    <w:uiPriority w:val="99"/>
    <w:rsid w:val="006C6712"/>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6C6712"/>
    <w:pPr>
      <w:tabs>
        <w:tab w:val="center" w:pos="4680"/>
        <w:tab w:val="right" w:pos="9360"/>
      </w:tabs>
    </w:pPr>
  </w:style>
  <w:style w:type="character" w:customStyle="1" w:styleId="FooterChar">
    <w:name w:val="Footer Char"/>
    <w:basedOn w:val="DefaultParagraphFont"/>
    <w:link w:val="Footer"/>
    <w:uiPriority w:val="99"/>
    <w:rsid w:val="006C6712"/>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C56"/>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6C7B"/>
    <w:rPr>
      <w:rFonts w:ascii="Tahoma" w:hAnsi="Tahoma" w:cs="Tahoma"/>
      <w:sz w:val="16"/>
      <w:szCs w:val="16"/>
    </w:rPr>
  </w:style>
  <w:style w:type="character" w:customStyle="1" w:styleId="BalloonTextChar">
    <w:name w:val="Balloon Text Char"/>
    <w:basedOn w:val="DefaultParagraphFont"/>
    <w:link w:val="BalloonText"/>
    <w:uiPriority w:val="99"/>
    <w:semiHidden/>
    <w:rsid w:val="00F76C7B"/>
    <w:rPr>
      <w:rFonts w:ascii="Tahoma" w:eastAsia="Times New Roman" w:hAnsi="Tahoma" w:cs="Tahoma"/>
      <w:sz w:val="16"/>
      <w:szCs w:val="16"/>
    </w:rPr>
  </w:style>
  <w:style w:type="paragraph" w:styleId="ListParagraph">
    <w:name w:val="List Paragraph"/>
    <w:basedOn w:val="Normal"/>
    <w:uiPriority w:val="34"/>
    <w:qFormat/>
    <w:rsid w:val="00C011F0"/>
    <w:pPr>
      <w:ind w:left="720"/>
      <w:contextualSpacing/>
    </w:pPr>
  </w:style>
  <w:style w:type="table" w:styleId="TableGrid">
    <w:name w:val="Table Grid"/>
    <w:basedOn w:val="TableNormal"/>
    <w:uiPriority w:val="59"/>
    <w:rsid w:val="00036E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95F7F"/>
    <w:pPr>
      <w:spacing w:before="100" w:beforeAutospacing="1" w:after="100" w:afterAutospacing="1"/>
    </w:pPr>
    <w:rPr>
      <w:sz w:val="24"/>
      <w:szCs w:val="24"/>
    </w:rPr>
  </w:style>
  <w:style w:type="paragraph" w:styleId="Header">
    <w:name w:val="header"/>
    <w:basedOn w:val="Normal"/>
    <w:link w:val="HeaderChar"/>
    <w:uiPriority w:val="99"/>
    <w:unhideWhenUsed/>
    <w:rsid w:val="006C6712"/>
    <w:pPr>
      <w:tabs>
        <w:tab w:val="center" w:pos="4680"/>
        <w:tab w:val="right" w:pos="9360"/>
      </w:tabs>
    </w:pPr>
  </w:style>
  <w:style w:type="character" w:customStyle="1" w:styleId="HeaderChar">
    <w:name w:val="Header Char"/>
    <w:basedOn w:val="DefaultParagraphFont"/>
    <w:link w:val="Header"/>
    <w:uiPriority w:val="99"/>
    <w:rsid w:val="006C6712"/>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6C6712"/>
    <w:pPr>
      <w:tabs>
        <w:tab w:val="center" w:pos="4680"/>
        <w:tab w:val="right" w:pos="9360"/>
      </w:tabs>
    </w:pPr>
  </w:style>
  <w:style w:type="character" w:customStyle="1" w:styleId="FooterChar">
    <w:name w:val="Footer Char"/>
    <w:basedOn w:val="DefaultParagraphFont"/>
    <w:link w:val="Footer"/>
    <w:uiPriority w:val="99"/>
    <w:rsid w:val="006C6712"/>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733877">
      <w:bodyDiv w:val="1"/>
      <w:marLeft w:val="0"/>
      <w:marRight w:val="0"/>
      <w:marTop w:val="0"/>
      <w:marBottom w:val="0"/>
      <w:divBdr>
        <w:top w:val="none" w:sz="0" w:space="0" w:color="auto"/>
        <w:left w:val="none" w:sz="0" w:space="0" w:color="auto"/>
        <w:bottom w:val="none" w:sz="0" w:space="0" w:color="auto"/>
        <w:right w:val="none" w:sz="0" w:space="0" w:color="auto"/>
      </w:divBdr>
    </w:div>
    <w:div w:id="53235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4</Pages>
  <Words>1198</Words>
  <Characters>6832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nguyenhainam</dc:creator>
  <cp:lastModifiedBy>DUC</cp:lastModifiedBy>
  <cp:revision>49</cp:revision>
  <cp:lastPrinted>2019-06-21T07:10:00Z</cp:lastPrinted>
  <dcterms:created xsi:type="dcterms:W3CDTF">2019-06-17T09:08:00Z</dcterms:created>
  <dcterms:modified xsi:type="dcterms:W3CDTF">2019-06-21T08:03:00Z</dcterms:modified>
</cp:coreProperties>
</file>